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2"/>
        </w:rPr>
      </w:pPr>
      <w:bookmarkStart w:id="0" w:name="_GoBack"/>
      <w:bookmarkEnd w:id="0"/>
      <w:r>
        <w:rPr>
          <w:rFonts w:eastAsia="黑体"/>
          <w:szCs w:val="32"/>
        </w:rPr>
        <w:t>附件1</w:t>
      </w:r>
    </w:p>
    <w:p>
      <w:pPr>
        <w:rPr>
          <w:rFonts w:hAnsi="黑体" w:eastAsia="黑体"/>
          <w:szCs w:val="32"/>
        </w:rPr>
      </w:pPr>
    </w:p>
    <w:p>
      <w:pPr>
        <w:spacing w:line="540" w:lineRule="exact"/>
        <w:jc w:val="center"/>
        <w:rPr>
          <w:rFonts w:ascii="方正小标宋_GBK" w:hAnsi="仿宋" w:eastAsia="方正小标宋_GBK"/>
          <w:sz w:val="44"/>
          <w:szCs w:val="44"/>
        </w:rPr>
      </w:pPr>
      <w:r>
        <w:rPr>
          <w:rFonts w:hint="eastAsia" w:ascii="方正小标宋_GBK" w:hAnsi="仿宋" w:eastAsia="方正小标宋_GBK"/>
          <w:sz w:val="44"/>
          <w:szCs w:val="44"/>
        </w:rPr>
        <w:t>云南财经大学新闻宣传工作</w:t>
      </w:r>
    </w:p>
    <w:p>
      <w:pPr>
        <w:spacing w:line="540" w:lineRule="exact"/>
        <w:jc w:val="center"/>
        <w:rPr>
          <w:rFonts w:ascii="方正小标宋_GBK" w:hAnsi="仿宋" w:eastAsia="方正小标宋_GBK"/>
          <w:sz w:val="44"/>
          <w:szCs w:val="44"/>
        </w:rPr>
      </w:pPr>
      <w:r>
        <w:rPr>
          <w:rFonts w:hint="eastAsia" w:ascii="方正小标宋_GBK" w:hAnsi="仿宋" w:eastAsia="方正小标宋_GBK"/>
          <w:sz w:val="44"/>
          <w:szCs w:val="44"/>
        </w:rPr>
        <w:t>管理办法（修订）</w:t>
      </w:r>
    </w:p>
    <w:p>
      <w:pPr>
        <w:spacing w:line="600" w:lineRule="exact"/>
        <w:rPr>
          <w:rFonts w:ascii="黑体" w:hAnsi="黑体" w:eastAsia="黑体"/>
          <w:szCs w:val="32"/>
        </w:rPr>
      </w:pPr>
    </w:p>
    <w:p>
      <w:pPr>
        <w:spacing w:line="600" w:lineRule="exact"/>
        <w:jc w:val="center"/>
        <w:rPr>
          <w:rFonts w:ascii="黑体" w:hAnsi="黑体" w:eastAsia="黑体"/>
          <w:szCs w:val="32"/>
        </w:rPr>
      </w:pPr>
      <w:r>
        <w:rPr>
          <w:rFonts w:hint="eastAsia" w:ascii="黑体" w:hAnsi="黑体" w:eastAsia="黑体"/>
          <w:szCs w:val="32"/>
        </w:rPr>
        <w:t>第一章　总  则</w:t>
      </w:r>
    </w:p>
    <w:p>
      <w:pPr>
        <w:spacing w:line="600" w:lineRule="exact"/>
        <w:ind w:firstLine="643" w:firstLineChars="200"/>
        <w:jc w:val="left"/>
        <w:rPr>
          <w:rFonts w:ascii="仿宋_GB2312" w:hAnsi="仿宋"/>
          <w:szCs w:val="32"/>
        </w:rPr>
      </w:pPr>
      <w:r>
        <w:rPr>
          <w:rFonts w:hint="eastAsia" w:ascii="楷体_GB2312" w:hAnsi="仿宋" w:eastAsia="楷体_GB2312"/>
          <w:b/>
          <w:szCs w:val="32"/>
        </w:rPr>
        <w:t>第一条</w:t>
      </w:r>
      <w:r>
        <w:rPr>
          <w:rFonts w:hint="eastAsia" w:ascii="仿宋_GB2312" w:hAnsi="仿宋"/>
          <w:szCs w:val="32"/>
        </w:rPr>
        <w:t xml:space="preserve"> 为进一步规范和加强我校新闻宣传工作，及时准确地宣传我校办学理念，宣传我校改革建设发展的重大举措及取得的成就，维护新闻宣传工作的真实性、权威性和时效性，根据《云南省党务政务公开新闻发布管理实施办法》的规定，按照“统筹规划、集中管理、统一发布、讲求时效”的原则，结合我校实际，特制订本办法。</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第二条 </w:t>
      </w:r>
      <w:r>
        <w:rPr>
          <w:rFonts w:hint="eastAsia" w:ascii="仿宋_GB2312" w:hAnsi="仿宋"/>
          <w:szCs w:val="32"/>
        </w:rPr>
        <w:t>本办法所称“云南财经大学新闻宣传工作”是指以云南财经大学或校属各单位名义，通过校内外新闻媒体开展的新闻宣传活动。</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第三条 </w:t>
      </w:r>
      <w:r>
        <w:rPr>
          <w:rFonts w:hint="eastAsia" w:ascii="仿宋_GB2312" w:hAnsi="仿宋"/>
          <w:szCs w:val="32"/>
        </w:rPr>
        <w:t>新闻宣传工作遵循主体明确、权责一致、归口管理、体系分级的原则，根据各自层级和职能职责确定宣传发布权限，履行宣传发布责任，做到“谁管理、谁发布、谁负责”。</w:t>
      </w:r>
    </w:p>
    <w:p>
      <w:pPr>
        <w:spacing w:line="600" w:lineRule="exact"/>
        <w:jc w:val="center"/>
        <w:rPr>
          <w:rFonts w:ascii="黑体" w:hAnsi="黑体" w:eastAsia="黑体"/>
          <w:szCs w:val="32"/>
        </w:rPr>
      </w:pPr>
      <w:r>
        <w:rPr>
          <w:rFonts w:hint="eastAsia" w:ascii="黑体" w:hAnsi="黑体" w:eastAsia="黑体"/>
          <w:szCs w:val="32"/>
        </w:rPr>
        <w:t>第二章　校园媒体平台新闻宣传</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第四条 </w:t>
      </w:r>
      <w:r>
        <w:rPr>
          <w:rFonts w:hint="eastAsia" w:ascii="仿宋_GB2312" w:hAnsi="仿宋"/>
          <w:szCs w:val="32"/>
        </w:rPr>
        <w:t>校属各单位举办的论坛、讲座等活动，责任单位应于举办活动前按照《云南财经大学论坛、讲座管理办法（试行）》 的要求进行审批及备案。</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第五条 </w:t>
      </w:r>
      <w:r>
        <w:rPr>
          <w:rFonts w:hint="eastAsia" w:ascii="仿宋_GB2312" w:hAnsi="仿宋"/>
          <w:szCs w:val="32"/>
        </w:rPr>
        <w:t>新闻报道应在审核与发布环节严把政治关和质量关，做到客观真实、文字简练、注重时效。</w:t>
      </w:r>
    </w:p>
    <w:p>
      <w:pPr>
        <w:spacing w:line="600" w:lineRule="exact"/>
        <w:ind w:firstLine="640" w:firstLineChars="200"/>
        <w:rPr>
          <w:rFonts w:ascii="仿宋_GB2312" w:hAnsi="仿宋"/>
          <w:szCs w:val="32"/>
        </w:rPr>
      </w:pPr>
      <w:r>
        <w:rPr>
          <w:rFonts w:hint="eastAsia" w:ascii="仿宋_GB2312" w:hAnsi="仿宋"/>
          <w:szCs w:val="32"/>
        </w:rPr>
        <w:t>校级媒体平台发布的新闻稿件严格执行责任单位负责人、责任编辑、党委宣传部（新闻中心）负责人三审三校程序。学校校报、新闻网、官方微博、官方微信公众号的新闻报道由党委宣传部（新闻中心）统一审核发布。重大题材的新闻报道由党委宣传部初审后报学校党委审定。</w:t>
      </w:r>
    </w:p>
    <w:p>
      <w:pPr>
        <w:spacing w:line="600" w:lineRule="exact"/>
        <w:rPr>
          <w:rFonts w:ascii="仿宋_GB2312" w:hAnsi="仿宋"/>
          <w:szCs w:val="32"/>
        </w:rPr>
      </w:pPr>
      <w:r>
        <w:rPr>
          <w:rFonts w:hint="eastAsia" w:ascii="仿宋_GB2312" w:hAnsi="仿宋"/>
          <w:szCs w:val="32"/>
        </w:rPr>
        <w:t xml:space="preserve">    </w:t>
      </w:r>
      <w:r>
        <w:rPr>
          <w:rFonts w:hint="eastAsia" w:ascii="楷体_GB2312" w:hAnsi="仿宋" w:eastAsia="楷体_GB2312"/>
          <w:b/>
          <w:szCs w:val="32"/>
        </w:rPr>
        <w:t xml:space="preserve">第六条 </w:t>
      </w:r>
      <w:r>
        <w:rPr>
          <w:rFonts w:hint="eastAsia" w:ascii="仿宋_GB2312" w:hAnsi="仿宋"/>
          <w:szCs w:val="32"/>
        </w:rPr>
        <w:t>校属各单位应积极向新闻中心报送有价值的新闻稿件或线索，及时反映本单位的工作动态、取得的工作成绩及涌现出的先进人物和优秀团体。</w:t>
      </w:r>
    </w:p>
    <w:p>
      <w:pPr>
        <w:spacing w:line="600" w:lineRule="exact"/>
        <w:jc w:val="center"/>
        <w:rPr>
          <w:rFonts w:ascii="黑体" w:hAnsi="黑体" w:eastAsia="黑体"/>
          <w:szCs w:val="32"/>
        </w:rPr>
      </w:pPr>
      <w:r>
        <w:rPr>
          <w:rFonts w:hint="eastAsia" w:ascii="黑体" w:hAnsi="黑体" w:eastAsia="黑体"/>
          <w:szCs w:val="32"/>
        </w:rPr>
        <w:t>第三章　对外新闻宣传与新闻发布</w:t>
      </w:r>
    </w:p>
    <w:p>
      <w:pPr>
        <w:spacing w:line="600" w:lineRule="exact"/>
        <w:ind w:firstLine="643" w:firstLineChars="200"/>
        <w:rPr>
          <w:rFonts w:ascii="仿宋_GB2312" w:hAnsi="仿宋"/>
          <w:szCs w:val="32"/>
        </w:rPr>
      </w:pPr>
      <w:r>
        <w:rPr>
          <w:rFonts w:hint="eastAsia" w:ascii="楷体_GB2312" w:hAnsi="黑体" w:eastAsia="楷体_GB2312"/>
          <w:b/>
          <w:szCs w:val="32"/>
        </w:rPr>
        <w:t xml:space="preserve">第七条 </w:t>
      </w:r>
      <w:r>
        <w:rPr>
          <w:rFonts w:hint="eastAsia" w:ascii="仿宋_GB2312" w:hAnsi="仿宋"/>
          <w:szCs w:val="32"/>
        </w:rPr>
        <w:t>学校对外新闻宣传工作由党委宣传部统一管理，校属各单位邀请校外媒体到校采访、接受校外媒体采访均需向党委宣传部报批。</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第八条 </w:t>
      </w:r>
      <w:r>
        <w:rPr>
          <w:rFonts w:hint="eastAsia" w:ascii="仿宋_GB2312" w:hAnsi="仿宋"/>
          <w:szCs w:val="32"/>
        </w:rPr>
        <w:t>学校及校属各单位应丰富与主流媒体的合作方式，挖掘有价值的宣传素材，寻找合适的宣传时机，推动学校良好形象的正面宣传。</w:t>
      </w:r>
    </w:p>
    <w:p>
      <w:pPr>
        <w:spacing w:line="600" w:lineRule="exact"/>
        <w:ind w:firstLine="643" w:firstLineChars="200"/>
        <w:rPr>
          <w:rFonts w:ascii="仿宋_GB2312" w:hAnsi="仿宋"/>
          <w:szCs w:val="32"/>
        </w:rPr>
      </w:pPr>
      <w:r>
        <w:rPr>
          <w:rFonts w:hint="eastAsia" w:ascii="楷体_GB2312" w:hAnsi="仿宋" w:eastAsia="楷体_GB2312"/>
          <w:b/>
          <w:szCs w:val="32"/>
        </w:rPr>
        <w:t>第九条</w:t>
      </w:r>
      <w:r>
        <w:rPr>
          <w:rFonts w:hint="eastAsia" w:ascii="仿宋_GB2312" w:hAnsi="仿宋"/>
          <w:szCs w:val="32"/>
        </w:rPr>
        <w:t xml:space="preserve"> 学校对外新闻宣传的内容主要包括：</w:t>
      </w:r>
    </w:p>
    <w:p>
      <w:pPr>
        <w:spacing w:line="600" w:lineRule="exact"/>
        <w:ind w:firstLine="640" w:firstLineChars="200"/>
        <w:rPr>
          <w:rFonts w:ascii="仿宋_GB2312" w:hAnsi="仿宋"/>
          <w:szCs w:val="32"/>
        </w:rPr>
      </w:pPr>
      <w:r>
        <w:rPr>
          <w:rFonts w:hint="eastAsia" w:ascii="仿宋_GB2312" w:hAnsi="仿宋"/>
          <w:szCs w:val="32"/>
        </w:rPr>
        <w:t>（一）上级领导来校视察，参加学校重要会议、重要活动，对学校工作作出的重要批示。</w:t>
      </w:r>
    </w:p>
    <w:p>
      <w:pPr>
        <w:spacing w:line="600" w:lineRule="exact"/>
        <w:ind w:firstLine="640" w:firstLineChars="200"/>
        <w:rPr>
          <w:rFonts w:ascii="仿宋_GB2312" w:hAnsi="仿宋"/>
          <w:szCs w:val="32"/>
        </w:rPr>
      </w:pPr>
      <w:r>
        <w:rPr>
          <w:rFonts w:hint="eastAsia" w:ascii="仿宋_GB2312" w:hAnsi="仿宋"/>
          <w:szCs w:val="32"/>
        </w:rPr>
        <w:t>（二）学校学习贯彻党和国家的路线、方针、政策的基本情况。</w:t>
      </w:r>
    </w:p>
    <w:p>
      <w:pPr>
        <w:spacing w:line="600" w:lineRule="exact"/>
        <w:ind w:firstLine="640" w:firstLineChars="200"/>
        <w:rPr>
          <w:rFonts w:ascii="仿宋_GB2312" w:hAnsi="仿宋"/>
          <w:szCs w:val="32"/>
        </w:rPr>
      </w:pPr>
      <w:r>
        <w:rPr>
          <w:rFonts w:hint="eastAsia" w:ascii="仿宋_GB2312" w:hAnsi="仿宋"/>
          <w:szCs w:val="32"/>
        </w:rPr>
        <w:t>（三）学校改革建设发展采取的重大举措、取得的突出成绩和积累的典型经验。</w:t>
      </w:r>
    </w:p>
    <w:p>
      <w:pPr>
        <w:spacing w:line="600" w:lineRule="exact"/>
        <w:ind w:firstLine="640" w:firstLineChars="200"/>
        <w:rPr>
          <w:rFonts w:ascii="仿宋_GB2312" w:hAnsi="仿宋"/>
          <w:szCs w:val="32"/>
        </w:rPr>
      </w:pPr>
      <w:r>
        <w:rPr>
          <w:rFonts w:hint="eastAsia" w:ascii="仿宋_GB2312" w:hAnsi="仿宋"/>
          <w:szCs w:val="32"/>
        </w:rPr>
        <w:t>（四）学校举办的重要会议及重大活动。</w:t>
      </w:r>
    </w:p>
    <w:p>
      <w:pPr>
        <w:spacing w:line="600" w:lineRule="exact"/>
        <w:ind w:firstLine="640" w:firstLineChars="200"/>
        <w:rPr>
          <w:rFonts w:ascii="仿宋_GB2312" w:hAnsi="仿宋"/>
          <w:szCs w:val="32"/>
        </w:rPr>
      </w:pPr>
      <w:r>
        <w:rPr>
          <w:rFonts w:hint="eastAsia" w:ascii="仿宋_GB2312" w:hAnsi="仿宋"/>
          <w:szCs w:val="32"/>
        </w:rPr>
        <w:t>（五）对校外新闻媒体涉及学校报道的回应。</w:t>
      </w:r>
    </w:p>
    <w:p>
      <w:pPr>
        <w:spacing w:line="600" w:lineRule="exact"/>
        <w:ind w:firstLine="640" w:firstLineChars="200"/>
        <w:rPr>
          <w:rFonts w:ascii="仿宋_GB2312" w:hAnsi="仿宋"/>
          <w:szCs w:val="32"/>
        </w:rPr>
      </w:pPr>
      <w:r>
        <w:rPr>
          <w:rFonts w:hint="eastAsia" w:ascii="仿宋_GB2312" w:hAnsi="仿宋"/>
          <w:szCs w:val="32"/>
        </w:rPr>
        <w:t>（六）其他需要及时宣传报道的事项。</w:t>
      </w:r>
    </w:p>
    <w:p>
      <w:pPr>
        <w:spacing w:line="600" w:lineRule="exact"/>
        <w:ind w:firstLine="643" w:firstLineChars="200"/>
        <w:rPr>
          <w:rFonts w:ascii="仿宋_GB2312" w:hAnsi="仿宋"/>
          <w:szCs w:val="32"/>
        </w:rPr>
      </w:pPr>
      <w:r>
        <w:rPr>
          <w:rFonts w:hint="eastAsia" w:ascii="楷体_GB2312" w:hAnsi="仿宋" w:eastAsia="楷体_GB2312"/>
          <w:b/>
          <w:szCs w:val="32"/>
        </w:rPr>
        <w:t>第十条</w:t>
      </w:r>
      <w:r>
        <w:rPr>
          <w:rFonts w:hint="eastAsia" w:ascii="仿宋_GB2312" w:hAnsi="仿宋"/>
          <w:szCs w:val="32"/>
        </w:rPr>
        <w:t xml:space="preserve"> 对外新闻宣传应严格遵守保密相关规定，防止泄密。</w:t>
      </w:r>
    </w:p>
    <w:p>
      <w:pPr>
        <w:spacing w:line="600" w:lineRule="exact"/>
        <w:ind w:firstLine="643" w:firstLineChars="200"/>
        <w:rPr>
          <w:rFonts w:ascii="仿宋_GB2312" w:hAnsi="仿宋"/>
          <w:szCs w:val="32"/>
        </w:rPr>
      </w:pPr>
      <w:r>
        <w:rPr>
          <w:rFonts w:hint="eastAsia" w:ascii="楷体_GB2312" w:hAnsi="仿宋" w:eastAsia="楷体_GB2312"/>
          <w:b/>
          <w:szCs w:val="32"/>
        </w:rPr>
        <w:t>第十一条</w:t>
      </w:r>
      <w:r>
        <w:rPr>
          <w:rFonts w:hint="eastAsia" w:ascii="仿宋_GB2312" w:hAnsi="仿宋"/>
          <w:szCs w:val="32"/>
        </w:rPr>
        <w:t xml:space="preserve"> 对外新闻发布。凡对学校发展有重大影响的事项，需及时进行宣传的，可根据需要进行新闻发布。新闻发布的组织、审批工作由党委宣传部负责，任何单位和个人未经学校批准，不得以任何形式进行对外新闻发布。</w:t>
      </w:r>
    </w:p>
    <w:p>
      <w:pPr>
        <w:spacing w:line="600" w:lineRule="exact"/>
        <w:ind w:firstLine="640" w:firstLineChars="200"/>
        <w:rPr>
          <w:rFonts w:ascii="仿宋_GB2312" w:hAnsi="仿宋"/>
          <w:szCs w:val="32"/>
        </w:rPr>
      </w:pPr>
      <w:r>
        <w:rPr>
          <w:rFonts w:hint="eastAsia" w:ascii="仿宋_GB2312" w:hAnsi="仿宋"/>
          <w:szCs w:val="32"/>
        </w:rPr>
        <w:t>（一）根据上级部门的要求，对我校具有较大影响的改革建设发展重大事项，应举行新闻发布会予以发布。对涉及我校改革建设发展的重大事项，可以以学校名义举行新闻发布会予以发布。</w:t>
      </w:r>
    </w:p>
    <w:p>
      <w:pPr>
        <w:spacing w:line="600" w:lineRule="exact"/>
        <w:ind w:firstLine="640" w:firstLineChars="200"/>
        <w:rPr>
          <w:rFonts w:ascii="仿宋_GB2312" w:hAnsi="仿宋"/>
          <w:szCs w:val="32"/>
        </w:rPr>
      </w:pPr>
      <w:r>
        <w:rPr>
          <w:rFonts w:hint="eastAsia" w:ascii="仿宋_GB2312" w:hAnsi="仿宋"/>
          <w:szCs w:val="32"/>
        </w:rPr>
        <w:t>（二）对我校在人才培养、教学科研、社会服务、校园文化建设等方面开展的重大活动及取得的重大进展，可以以学校名义采用记者招待会、新闻通气会、记者见面会、情况介绍会等形式予以发布。</w:t>
      </w:r>
    </w:p>
    <w:p>
      <w:pPr>
        <w:spacing w:line="600" w:lineRule="exact"/>
        <w:ind w:firstLine="640" w:firstLineChars="200"/>
        <w:rPr>
          <w:rFonts w:ascii="仿宋_GB2312" w:hAnsi="仿宋"/>
          <w:szCs w:val="32"/>
        </w:rPr>
      </w:pPr>
      <w:r>
        <w:rPr>
          <w:rFonts w:hint="eastAsia" w:ascii="仿宋_GB2312" w:hAnsi="仿宋"/>
          <w:szCs w:val="32"/>
        </w:rPr>
        <w:t>（三）按照“谁公开谁审核、谁审核谁负责”和“一事一审”原则，在对拟对外发布的信息进行合法合规和保密审查的前提下，发布内容涉及校内多家单位的，应当共同审定，涉及全校工作的，应报学校党委审定。</w:t>
      </w:r>
    </w:p>
    <w:p>
      <w:pPr>
        <w:spacing w:line="600" w:lineRule="exact"/>
        <w:ind w:firstLine="640" w:firstLineChars="200"/>
        <w:rPr>
          <w:rFonts w:ascii="仿宋_GB2312" w:hAnsi="仿宋"/>
          <w:szCs w:val="32"/>
        </w:rPr>
      </w:pPr>
      <w:r>
        <w:rPr>
          <w:rFonts w:hint="eastAsia" w:ascii="仿宋_GB2312" w:hAnsi="仿宋"/>
          <w:szCs w:val="32"/>
        </w:rPr>
        <w:t>（四）对于不需要举行新闻发布会或记者招待会的其他需要对外发布的事项，可邀请记者来校采访，或是以学校名义向校外新闻媒体提供新闻通稿。</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第十二条 </w:t>
      </w:r>
      <w:r>
        <w:rPr>
          <w:rFonts w:hint="eastAsia" w:ascii="仿宋_GB2312" w:hAnsi="仿宋"/>
          <w:szCs w:val="32"/>
        </w:rPr>
        <w:t>境内新闻媒体记者采访审批及备案。境内新闻媒体记者采访师生员工须到党委宣传部登记备案，填写《云南财经大学校外新闻媒体采访单》，党委宣传部负责安排采访事宜，有关单位应积极协助记者的采访工作。</w:t>
      </w:r>
    </w:p>
    <w:p>
      <w:pPr>
        <w:spacing w:line="600" w:lineRule="exact"/>
        <w:ind w:firstLine="643" w:firstLineChars="200"/>
        <w:rPr>
          <w:rFonts w:ascii="仿宋_GB2312" w:hAnsi="仿宋"/>
          <w:szCs w:val="32"/>
        </w:rPr>
      </w:pPr>
      <w:r>
        <w:rPr>
          <w:rFonts w:hint="eastAsia" w:ascii="楷体_GB2312" w:hAnsi="仿宋" w:eastAsia="楷体_GB2312"/>
          <w:b/>
          <w:szCs w:val="32"/>
        </w:rPr>
        <w:t>第十三条</w:t>
      </w:r>
      <w:r>
        <w:rPr>
          <w:rFonts w:hint="eastAsia" w:ascii="仿宋_GB2312" w:hAnsi="仿宋"/>
          <w:szCs w:val="32"/>
        </w:rPr>
        <w:t xml:space="preserve"> 涉及境外媒体的新闻采访和新闻发布，由党委宣传部会同党委（校长）办公室、国际合作交流处（港澳台事务办公室）审核后报学校党委审批，需报上级单位审批的，待批准后方可对外发布。接受境外新闻媒体记者采访，由党委宣传部会同国际合作交流处（港澳台事务办公室），按照国家有关规定办理相关手续后方可接受采访。</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第十四条 </w:t>
      </w:r>
      <w:r>
        <w:rPr>
          <w:rFonts w:hint="eastAsia" w:ascii="仿宋_GB2312" w:hAnsi="仿宋"/>
          <w:szCs w:val="32"/>
        </w:rPr>
        <w:t>校属各单位应及时收集新闻媒体有关本单位的新闻报道，并及时报党委宣传部进行整理、登记、归档。</w:t>
      </w:r>
    </w:p>
    <w:p>
      <w:pPr>
        <w:spacing w:line="600" w:lineRule="exact"/>
        <w:jc w:val="center"/>
        <w:rPr>
          <w:rFonts w:ascii="黑体" w:hAnsi="黑体" w:eastAsia="黑体"/>
          <w:szCs w:val="32"/>
        </w:rPr>
      </w:pPr>
      <w:r>
        <w:rPr>
          <w:rFonts w:hint="eastAsia" w:ascii="黑体" w:hAnsi="黑体" w:eastAsia="黑体"/>
          <w:szCs w:val="32"/>
        </w:rPr>
        <w:t>第四章  突发事件信息发布</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第十五条 </w:t>
      </w:r>
      <w:r>
        <w:rPr>
          <w:rFonts w:hint="eastAsia" w:ascii="仿宋_GB2312" w:hAnsi="仿宋"/>
          <w:szCs w:val="32"/>
        </w:rPr>
        <w:t>突发事件信息发布遵循的原则：坚持正确舆论导向，维护学校稳定；坚持以人为本，满足信息需求；坚持及时准确，积极引导舆论；坚持公开透明，做到井然有序；坚持统筹协调，明确工作责任。</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第十六条 </w:t>
      </w:r>
      <w:r>
        <w:rPr>
          <w:rFonts w:hint="eastAsia" w:ascii="仿宋_GB2312" w:hAnsi="仿宋"/>
          <w:szCs w:val="32"/>
        </w:rPr>
        <w:t>突发事件的信息发布由学校党委确定统一口径，由党委宣传部（新闻中心）组织实施，其他单位和个人不得随意发布信息。信息发布采用召开新闻通气会、记者招待会等方式，向新闻媒体发布已认定的重要信息。</w:t>
      </w:r>
    </w:p>
    <w:p>
      <w:pPr>
        <w:spacing w:line="600" w:lineRule="exact"/>
        <w:ind w:firstLine="643" w:firstLineChars="200"/>
        <w:rPr>
          <w:rFonts w:ascii="仿宋_GB2312" w:hAnsi="仿宋"/>
          <w:szCs w:val="32"/>
        </w:rPr>
      </w:pPr>
      <w:r>
        <w:rPr>
          <w:rFonts w:hint="eastAsia" w:ascii="楷体_GB2312" w:hAnsi="仿宋" w:eastAsia="楷体_GB2312"/>
          <w:b/>
          <w:szCs w:val="32"/>
        </w:rPr>
        <w:t>第十七条</w:t>
      </w:r>
      <w:r>
        <w:rPr>
          <w:rFonts w:hint="eastAsia" w:ascii="仿宋_GB2312" w:hAnsi="仿宋"/>
          <w:szCs w:val="32"/>
        </w:rPr>
        <w:t xml:space="preserve"> 突发事件的信息发布要视具体情况决定是否发布，并确定恰当的媒体平台，引导师生及公众依法、理性表达意见，为突发事件的处置营造良好的舆论氛围。</w:t>
      </w:r>
    </w:p>
    <w:p>
      <w:pPr>
        <w:spacing w:line="600" w:lineRule="exact"/>
        <w:ind w:firstLine="640" w:firstLineChars="200"/>
        <w:rPr>
          <w:rFonts w:ascii="仿宋_GB2312" w:hAnsi="仿宋"/>
          <w:szCs w:val="32"/>
        </w:rPr>
      </w:pPr>
      <w:r>
        <w:rPr>
          <w:rFonts w:hint="eastAsia" w:ascii="仿宋_GB2312" w:hAnsi="仿宋"/>
          <w:szCs w:val="32"/>
        </w:rPr>
        <w:t>未尽事宜参照《云南财经大学网络舆情管理及应对办法（试行）》执行。</w:t>
      </w:r>
    </w:p>
    <w:p>
      <w:pPr>
        <w:spacing w:line="600" w:lineRule="exact"/>
        <w:jc w:val="center"/>
        <w:rPr>
          <w:rFonts w:ascii="黑体" w:hAnsi="黑体" w:eastAsia="黑体"/>
          <w:szCs w:val="32"/>
        </w:rPr>
      </w:pPr>
      <w:r>
        <w:rPr>
          <w:rFonts w:hint="eastAsia" w:ascii="黑体" w:hAnsi="黑体" w:eastAsia="黑体"/>
          <w:szCs w:val="32"/>
        </w:rPr>
        <w:t>第五章　新闻宣传队伍建设</w:t>
      </w:r>
    </w:p>
    <w:p>
      <w:pPr>
        <w:spacing w:line="600" w:lineRule="exact"/>
        <w:ind w:firstLine="643" w:firstLineChars="200"/>
        <w:rPr>
          <w:rFonts w:ascii="仿宋_GB2312" w:hAnsi="仿宋"/>
          <w:szCs w:val="32"/>
        </w:rPr>
      </w:pPr>
      <w:r>
        <w:rPr>
          <w:rFonts w:hint="eastAsia" w:ascii="楷体_GB2312" w:hAnsi="仿宋" w:eastAsia="楷体_GB2312"/>
          <w:b/>
          <w:szCs w:val="32"/>
        </w:rPr>
        <w:t>第十八条</w:t>
      </w:r>
      <w:r>
        <w:rPr>
          <w:rFonts w:hint="eastAsia" w:ascii="仿宋_GB2312" w:hAnsi="仿宋"/>
          <w:szCs w:val="32"/>
        </w:rPr>
        <w:t xml:space="preserve"> 新闻宣传通讯员队伍。校属各单位确定一名思想政治素质好、工作责任心强、具有较强写作能力的在职人员担任本单位的新闻宣传通讯员，填写《云南财经大学新闻宣传通讯员基本信息表》报党委宣传部备案。</w:t>
      </w:r>
    </w:p>
    <w:p>
      <w:pPr>
        <w:spacing w:line="600" w:lineRule="exact"/>
        <w:ind w:firstLine="643" w:firstLineChars="200"/>
        <w:rPr>
          <w:rFonts w:ascii="仿宋_GB2312" w:hAnsi="仿宋"/>
          <w:szCs w:val="32"/>
        </w:rPr>
      </w:pPr>
      <w:r>
        <w:rPr>
          <w:rFonts w:hint="eastAsia" w:ascii="楷体_GB2312" w:hAnsi="仿宋" w:eastAsia="楷体_GB2312"/>
          <w:b/>
          <w:szCs w:val="32"/>
        </w:rPr>
        <w:t>第十九条</w:t>
      </w:r>
      <w:r>
        <w:rPr>
          <w:rFonts w:hint="eastAsia" w:ascii="仿宋_GB2312" w:hAnsi="仿宋"/>
          <w:szCs w:val="32"/>
        </w:rPr>
        <w:t xml:space="preserve"> 大学生记者队伍。党委宣传部负责管理和建设云南财经大学记者团这支学生干部队伍，通过业务培训、工作指导和实践锻炼等方式，不断提高大学生记者的政治理论水平和新闻业务能力。</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第二十条 </w:t>
      </w:r>
      <w:r>
        <w:rPr>
          <w:rFonts w:hint="eastAsia" w:ascii="仿宋_GB2312" w:hAnsi="仿宋"/>
          <w:szCs w:val="32"/>
        </w:rPr>
        <w:t>新闻宣传通讯员和大学生记者是学校新闻宣传工作的重要力量，校属各单位应对其工作提供必要的保障和支持，积极配合两支队伍开展新闻宣传工作。</w:t>
      </w:r>
    </w:p>
    <w:p>
      <w:pPr>
        <w:spacing w:line="600" w:lineRule="exact"/>
        <w:jc w:val="center"/>
        <w:rPr>
          <w:rFonts w:ascii="黑体" w:hAnsi="黑体" w:eastAsia="黑体"/>
          <w:szCs w:val="32"/>
        </w:rPr>
      </w:pPr>
      <w:r>
        <w:rPr>
          <w:rFonts w:hint="eastAsia" w:ascii="黑体" w:hAnsi="黑体" w:eastAsia="黑体"/>
          <w:szCs w:val="32"/>
        </w:rPr>
        <w:t>第六章　表彰和奖励</w:t>
      </w:r>
    </w:p>
    <w:p>
      <w:pPr>
        <w:spacing w:line="600" w:lineRule="exact"/>
        <w:ind w:firstLine="643" w:firstLineChars="200"/>
        <w:rPr>
          <w:rFonts w:ascii="仿宋_GB2312" w:hAnsi="仿宋"/>
          <w:szCs w:val="32"/>
        </w:rPr>
      </w:pPr>
      <w:r>
        <w:rPr>
          <w:rFonts w:hint="eastAsia" w:ascii="楷体_GB2312" w:hAnsi="仿宋" w:eastAsia="楷体_GB2312"/>
          <w:b/>
          <w:szCs w:val="32"/>
        </w:rPr>
        <w:t>第二十一条</w:t>
      </w:r>
      <w:r>
        <w:rPr>
          <w:rFonts w:hint="eastAsia" w:ascii="仿宋_GB2312" w:hAnsi="仿宋"/>
          <w:szCs w:val="32"/>
        </w:rPr>
        <w:t xml:space="preserve"> 学校根据校属各单位每年在校报、新闻网的新闻稿件发布量，综合投稿的积极性、主动性、及时性以及稿件的质量和影响力等因素，结合校外媒体对单位工作进行报道的情况，形成对各单位新闻宣传工作的评价意见。新闻宣传工作的开展情况被纳入各单位年终考核的范畴，同时作为评选表彰新闻宣传工作先进单位和先进个人的重要依据。</w:t>
      </w:r>
    </w:p>
    <w:p>
      <w:pPr>
        <w:spacing w:line="600" w:lineRule="exact"/>
        <w:jc w:val="center"/>
        <w:rPr>
          <w:rFonts w:ascii="黑体" w:hAnsi="黑体" w:eastAsia="黑体"/>
          <w:szCs w:val="32"/>
        </w:rPr>
      </w:pPr>
      <w:r>
        <w:rPr>
          <w:rFonts w:hint="eastAsia" w:ascii="黑体" w:hAnsi="黑体" w:eastAsia="黑体"/>
          <w:szCs w:val="32"/>
        </w:rPr>
        <w:t>第七章  问  责</w:t>
      </w:r>
    </w:p>
    <w:p>
      <w:pPr>
        <w:spacing w:line="600" w:lineRule="exact"/>
        <w:ind w:firstLine="643" w:firstLineChars="200"/>
        <w:rPr>
          <w:rFonts w:ascii="仿宋_GB2312" w:hAnsi="仿宋"/>
          <w:szCs w:val="32"/>
        </w:rPr>
      </w:pPr>
      <w:r>
        <w:rPr>
          <w:rFonts w:hint="eastAsia" w:ascii="楷体_GB2312" w:hAnsi="仿宋" w:eastAsia="楷体_GB2312"/>
          <w:b/>
          <w:szCs w:val="32"/>
        </w:rPr>
        <w:t xml:space="preserve">第二十二条  </w:t>
      </w:r>
      <w:r>
        <w:rPr>
          <w:rFonts w:hint="eastAsia" w:ascii="仿宋_GB2312" w:hAnsi="仿宋"/>
          <w:szCs w:val="32"/>
        </w:rPr>
        <w:t>凡有《云南财经大学意识形态工作问责实施办法（试行）》所列以下情形，学校对相关责任人进行问责：</w:t>
      </w:r>
    </w:p>
    <w:p>
      <w:pPr>
        <w:spacing w:line="600" w:lineRule="exact"/>
        <w:ind w:firstLine="640" w:firstLineChars="200"/>
        <w:rPr>
          <w:rFonts w:ascii="仿宋_GB2312" w:hAnsi="仿宋"/>
          <w:szCs w:val="32"/>
        </w:rPr>
      </w:pPr>
      <w:r>
        <w:rPr>
          <w:rFonts w:hint="eastAsia" w:ascii="仿宋_GB2312" w:hAnsi="仿宋"/>
          <w:szCs w:val="32"/>
        </w:rPr>
        <w:t>（一）未经审批擅自发布新闻或超越新闻发布范围的。</w:t>
      </w:r>
    </w:p>
    <w:p>
      <w:pPr>
        <w:spacing w:line="600" w:lineRule="exact"/>
        <w:ind w:firstLine="640" w:firstLineChars="200"/>
        <w:rPr>
          <w:rFonts w:ascii="仿宋_GB2312" w:hAnsi="仿宋"/>
          <w:szCs w:val="32"/>
        </w:rPr>
      </w:pPr>
      <w:r>
        <w:rPr>
          <w:rFonts w:hint="eastAsia" w:ascii="仿宋_GB2312" w:hAnsi="仿宋"/>
          <w:szCs w:val="32"/>
        </w:rPr>
        <w:t>（二）未经授权以学校名义或公职人员身份发布新闻和信息的。</w:t>
      </w:r>
    </w:p>
    <w:p>
      <w:pPr>
        <w:spacing w:line="600" w:lineRule="exact"/>
        <w:ind w:firstLine="640" w:firstLineChars="200"/>
        <w:rPr>
          <w:rFonts w:ascii="仿宋_GB2312" w:hAnsi="仿宋"/>
          <w:szCs w:val="32"/>
        </w:rPr>
      </w:pPr>
      <w:r>
        <w:rPr>
          <w:rFonts w:hint="eastAsia" w:ascii="仿宋_GB2312" w:hAnsi="仿宋"/>
          <w:szCs w:val="32"/>
        </w:rPr>
        <w:t>（三）未经核实事件真相，发布虚假新闻和信息的。</w:t>
      </w:r>
    </w:p>
    <w:p>
      <w:pPr>
        <w:spacing w:line="600" w:lineRule="exact"/>
        <w:ind w:firstLine="640" w:firstLineChars="200"/>
        <w:rPr>
          <w:rFonts w:ascii="仿宋_GB2312" w:hAnsi="仿宋"/>
          <w:szCs w:val="32"/>
        </w:rPr>
      </w:pPr>
      <w:r>
        <w:rPr>
          <w:rFonts w:hint="eastAsia" w:ascii="仿宋_GB2312" w:hAnsi="仿宋"/>
          <w:szCs w:val="32"/>
        </w:rPr>
        <w:t>对发布不当新闻信息造成不良社会影响的，将严肃追究相关责任人的责任；造成重大损失或影响的，追究单位负责人的责任；构成犯罪的，依法追究刑事责任。</w:t>
      </w:r>
    </w:p>
    <w:p>
      <w:pPr>
        <w:spacing w:line="600" w:lineRule="exact"/>
        <w:jc w:val="center"/>
        <w:rPr>
          <w:rFonts w:ascii="黑体" w:hAnsi="黑体" w:eastAsia="黑体"/>
          <w:szCs w:val="32"/>
        </w:rPr>
      </w:pPr>
      <w:r>
        <w:rPr>
          <w:rFonts w:hint="eastAsia" w:ascii="黑体" w:hAnsi="黑体" w:eastAsia="黑体"/>
          <w:szCs w:val="32"/>
        </w:rPr>
        <w:t>第八章　附  则</w:t>
      </w:r>
    </w:p>
    <w:p>
      <w:pPr>
        <w:spacing w:line="600" w:lineRule="exact"/>
        <w:ind w:firstLine="643" w:firstLineChars="200"/>
        <w:rPr>
          <w:rFonts w:ascii="仿宋_GB2312" w:hAnsi="仿宋"/>
          <w:szCs w:val="32"/>
        </w:rPr>
      </w:pPr>
      <w:r>
        <w:rPr>
          <w:rFonts w:hint="eastAsia" w:ascii="楷体_GB2312" w:hAnsi="仿宋" w:eastAsia="楷体_GB2312"/>
          <w:b/>
          <w:szCs w:val="32"/>
        </w:rPr>
        <w:t>第二十三条</w:t>
      </w:r>
      <w:r>
        <w:rPr>
          <w:rFonts w:hint="eastAsia" w:ascii="仿宋_GB2312" w:hAnsi="仿宋"/>
          <w:szCs w:val="32"/>
        </w:rPr>
        <w:t xml:space="preserve"> 本办法自发布之日起施行，由党委宣传部（新闻中心）负责解释。</w:t>
      </w:r>
    </w:p>
    <w:p>
      <w:pPr>
        <w:spacing w:line="600" w:lineRule="exact"/>
        <w:ind w:firstLine="640" w:firstLineChars="200"/>
        <w:rPr>
          <w:rFonts w:ascii="仿宋_GB2312" w:hAnsi="仿宋"/>
          <w:szCs w:val="32"/>
        </w:rPr>
      </w:pPr>
    </w:p>
    <w:p>
      <w:pPr>
        <w:spacing w:line="600" w:lineRule="exact"/>
        <w:ind w:firstLine="640" w:firstLineChars="200"/>
        <w:rPr>
          <w:szCs w:val="32"/>
        </w:rPr>
      </w:pPr>
      <w:r>
        <w:rPr>
          <w:szCs w:val="32"/>
        </w:rPr>
        <w:t>附表：1.云南财经大学校外新闻媒体采访单</w:t>
      </w:r>
    </w:p>
    <w:p>
      <w:pPr>
        <w:spacing w:line="600" w:lineRule="exact"/>
        <w:ind w:firstLine="1600" w:firstLineChars="500"/>
        <w:rPr>
          <w:szCs w:val="32"/>
        </w:rPr>
      </w:pPr>
      <w:r>
        <w:rPr>
          <w:szCs w:val="32"/>
        </w:rPr>
        <w:t>2.云南财经大学新闻宣传通讯员基本信息表</w:t>
      </w:r>
    </w:p>
    <w:p>
      <w:pPr>
        <w:spacing w:line="600" w:lineRule="exact"/>
        <w:jc w:val="center"/>
        <w:rPr>
          <w:b/>
          <w:sz w:val="44"/>
          <w:szCs w:val="44"/>
        </w:rPr>
      </w:pPr>
    </w:p>
    <w:p>
      <w:pPr>
        <w:spacing w:line="500" w:lineRule="exact"/>
        <w:jc w:val="center"/>
        <w:rPr>
          <w:rFonts w:ascii="宋体" w:hAnsi="宋体"/>
          <w:b/>
          <w:sz w:val="44"/>
          <w:szCs w:val="44"/>
        </w:rPr>
      </w:pPr>
    </w:p>
    <w:p>
      <w:pPr>
        <w:spacing w:line="500" w:lineRule="exact"/>
        <w:jc w:val="center"/>
        <w:rPr>
          <w:rFonts w:ascii="宋体" w:hAnsi="宋体"/>
          <w:b/>
          <w:sz w:val="44"/>
          <w:szCs w:val="44"/>
        </w:rPr>
      </w:pPr>
    </w:p>
    <w:p>
      <w:pPr>
        <w:spacing w:line="500" w:lineRule="exact"/>
        <w:rPr>
          <w:rFonts w:ascii="宋体" w:hAnsi="宋体"/>
          <w:b/>
          <w:sz w:val="44"/>
          <w:szCs w:val="44"/>
        </w:rPr>
      </w:pPr>
    </w:p>
    <w:p>
      <w:pPr>
        <w:widowControl/>
        <w:spacing w:line="20" w:lineRule="exact"/>
        <w:jc w:val="left"/>
        <w:rPr>
          <w:rFonts w:ascii="微软简标宋" w:hAnsi="宋体" w:eastAsia="微软简标宋"/>
          <w:sz w:val="44"/>
          <w:szCs w:val="44"/>
        </w:rPr>
      </w:pPr>
      <w:r>
        <w:rPr>
          <w:rFonts w:ascii="微软简标宋" w:hAnsi="宋体" w:eastAsia="微软简标宋"/>
          <w:sz w:val="44"/>
          <w:szCs w:val="44"/>
        </w:rPr>
        <w:br w:type="page"/>
      </w:r>
    </w:p>
    <w:tbl>
      <w:tblPr>
        <w:tblStyle w:val="4"/>
        <w:tblpPr w:leftFromText="180" w:rightFromText="180" w:vertAnchor="page" w:horzAnchor="margin" w:tblpXSpec="center" w:tblpY="2386"/>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23"/>
        <w:gridCol w:w="1620"/>
        <w:gridCol w:w="3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905" w:type="dxa"/>
            <w:tcBorders>
              <w:bottom w:val="single" w:color="auto" w:sz="4" w:space="0"/>
            </w:tcBorders>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新闻媒体名称</w:t>
            </w:r>
          </w:p>
        </w:tc>
        <w:tc>
          <w:tcPr>
            <w:tcW w:w="2523" w:type="dxa"/>
            <w:vAlign w:val="center"/>
          </w:tcPr>
          <w:p>
            <w:pPr>
              <w:spacing w:line="460" w:lineRule="exact"/>
              <w:jc w:val="center"/>
              <w:rPr>
                <w:rFonts w:asciiTheme="minorEastAsia" w:hAnsiTheme="minorEastAsia" w:eastAsiaTheme="minorEastAsia"/>
                <w:sz w:val="21"/>
                <w:szCs w:val="21"/>
              </w:rPr>
            </w:pPr>
          </w:p>
        </w:tc>
        <w:tc>
          <w:tcPr>
            <w:tcW w:w="1620" w:type="dxa"/>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拟接收采访单位（个人）</w:t>
            </w:r>
          </w:p>
        </w:tc>
        <w:tc>
          <w:tcPr>
            <w:tcW w:w="3240" w:type="dxa"/>
            <w:vAlign w:val="center"/>
          </w:tcPr>
          <w:p>
            <w:pPr>
              <w:spacing w:line="46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05" w:type="dxa"/>
            <w:vMerge w:val="restart"/>
            <w:tcBorders>
              <w:top w:val="single" w:color="auto" w:sz="4" w:space="0"/>
            </w:tcBorders>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媒体记者</w:t>
            </w:r>
          </w:p>
        </w:tc>
        <w:tc>
          <w:tcPr>
            <w:tcW w:w="2523" w:type="dxa"/>
            <w:vMerge w:val="restart"/>
            <w:shd w:val="clear" w:color="auto" w:fill="auto"/>
            <w:vAlign w:val="center"/>
          </w:tcPr>
          <w:p>
            <w:pPr>
              <w:spacing w:line="460" w:lineRule="exact"/>
              <w:rPr>
                <w:rFonts w:asciiTheme="minorEastAsia" w:hAnsiTheme="minorEastAsia" w:eastAsiaTheme="minorEastAsia"/>
                <w:sz w:val="21"/>
                <w:szCs w:val="21"/>
              </w:rPr>
            </w:pPr>
          </w:p>
        </w:tc>
        <w:tc>
          <w:tcPr>
            <w:tcW w:w="1620" w:type="dxa"/>
            <w:shd w:val="clear" w:color="auto" w:fill="auto"/>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联系手机</w:t>
            </w:r>
          </w:p>
        </w:tc>
        <w:tc>
          <w:tcPr>
            <w:tcW w:w="3240" w:type="dxa"/>
            <w:shd w:val="clear" w:color="auto" w:fill="auto"/>
            <w:vAlign w:val="center"/>
          </w:tcPr>
          <w:p>
            <w:pPr>
              <w:spacing w:line="46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05" w:type="dxa"/>
            <w:vMerge w:val="continue"/>
            <w:vAlign w:val="center"/>
          </w:tcPr>
          <w:p>
            <w:pPr>
              <w:spacing w:line="460" w:lineRule="exact"/>
              <w:jc w:val="center"/>
              <w:rPr>
                <w:rFonts w:asciiTheme="minorEastAsia" w:hAnsiTheme="minorEastAsia" w:eastAsiaTheme="minorEastAsia"/>
                <w:sz w:val="21"/>
                <w:szCs w:val="21"/>
              </w:rPr>
            </w:pPr>
          </w:p>
        </w:tc>
        <w:tc>
          <w:tcPr>
            <w:tcW w:w="2523" w:type="dxa"/>
            <w:vMerge w:val="continue"/>
            <w:shd w:val="clear" w:color="auto" w:fill="auto"/>
            <w:vAlign w:val="center"/>
          </w:tcPr>
          <w:p>
            <w:pPr>
              <w:spacing w:line="460" w:lineRule="exact"/>
              <w:rPr>
                <w:rFonts w:asciiTheme="minorEastAsia" w:hAnsiTheme="minorEastAsia" w:eastAsiaTheme="minorEastAsia"/>
                <w:sz w:val="21"/>
                <w:szCs w:val="21"/>
              </w:rPr>
            </w:pPr>
          </w:p>
        </w:tc>
        <w:tc>
          <w:tcPr>
            <w:tcW w:w="1620" w:type="dxa"/>
            <w:shd w:val="clear" w:color="auto" w:fill="auto"/>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邮箱地址</w:t>
            </w:r>
          </w:p>
        </w:tc>
        <w:tc>
          <w:tcPr>
            <w:tcW w:w="3240" w:type="dxa"/>
            <w:shd w:val="clear" w:color="auto" w:fill="auto"/>
            <w:vAlign w:val="center"/>
          </w:tcPr>
          <w:p>
            <w:pPr>
              <w:spacing w:line="46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905" w:type="dxa"/>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拟采访时间</w:t>
            </w:r>
          </w:p>
        </w:tc>
        <w:tc>
          <w:tcPr>
            <w:tcW w:w="2523" w:type="dxa"/>
            <w:vAlign w:val="center"/>
          </w:tcPr>
          <w:p>
            <w:pPr>
              <w:spacing w:line="460" w:lineRule="exact"/>
              <w:rPr>
                <w:rFonts w:asciiTheme="minorEastAsia" w:hAnsiTheme="minorEastAsia" w:eastAsiaTheme="minorEastAsia"/>
                <w:sz w:val="21"/>
                <w:szCs w:val="21"/>
              </w:rPr>
            </w:pPr>
          </w:p>
        </w:tc>
        <w:tc>
          <w:tcPr>
            <w:tcW w:w="1620" w:type="dxa"/>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采访地点</w:t>
            </w:r>
          </w:p>
        </w:tc>
        <w:tc>
          <w:tcPr>
            <w:tcW w:w="3240" w:type="dxa"/>
            <w:vAlign w:val="center"/>
          </w:tcPr>
          <w:p>
            <w:pPr>
              <w:spacing w:line="460" w:lineRule="exact"/>
              <w:jc w:val="center"/>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23" w:hRule="atLeast"/>
        </w:trPr>
        <w:tc>
          <w:tcPr>
            <w:tcW w:w="1905" w:type="dxa"/>
            <w:tcBorders>
              <w:top w:val="single" w:color="auto" w:sz="12" w:space="0"/>
              <w:bottom w:val="single" w:color="auto" w:sz="4" w:space="0"/>
            </w:tcBorders>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拟采访内容</w:t>
            </w:r>
          </w:p>
        </w:tc>
        <w:tc>
          <w:tcPr>
            <w:tcW w:w="7383" w:type="dxa"/>
            <w:gridSpan w:val="3"/>
            <w:tcBorders>
              <w:top w:val="single" w:color="auto" w:sz="12" w:space="0"/>
            </w:tcBorders>
            <w:vAlign w:val="center"/>
          </w:tcPr>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1905" w:type="dxa"/>
            <w:tcBorders>
              <w:top w:val="single" w:color="auto" w:sz="12" w:space="0"/>
              <w:bottom w:val="single" w:color="auto" w:sz="4" w:space="0"/>
            </w:tcBorders>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党委宣传部</w:t>
            </w:r>
          </w:p>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（新闻中心）</w:t>
            </w:r>
          </w:p>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意  见</w:t>
            </w:r>
          </w:p>
        </w:tc>
        <w:tc>
          <w:tcPr>
            <w:tcW w:w="7383" w:type="dxa"/>
            <w:gridSpan w:val="3"/>
            <w:tcBorders>
              <w:top w:val="single" w:color="auto" w:sz="12" w:space="0"/>
              <w:bottom w:val="single" w:color="auto" w:sz="4" w:space="0"/>
            </w:tcBorders>
            <w:vAlign w:val="center"/>
          </w:tcPr>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rPr>
                <w:rFonts w:asciiTheme="minorEastAsia" w:hAnsiTheme="minorEastAsia" w:eastAsiaTheme="minorEastAsia"/>
                <w:sz w:val="21"/>
                <w:szCs w:val="21"/>
              </w:rPr>
            </w:pPr>
          </w:p>
          <w:p>
            <w:pPr>
              <w:spacing w:line="460" w:lineRule="exact"/>
              <w:ind w:firstLine="5040" w:firstLineChars="2400"/>
              <w:rPr>
                <w:rFonts w:asciiTheme="minorEastAsia" w:hAnsiTheme="minorEastAsia" w:eastAsiaTheme="minorEastAsia"/>
                <w:sz w:val="21"/>
                <w:szCs w:val="21"/>
              </w:rPr>
            </w:pPr>
            <w:r>
              <w:rPr>
                <w:rFonts w:hint="eastAsia" w:asciiTheme="minorEastAsia" w:hAnsiTheme="minorEastAsia" w:eastAsiaTheme="minorEastAsia"/>
                <w:sz w:val="21"/>
                <w:szCs w:val="21"/>
              </w:rPr>
              <w:t>签  章：</w:t>
            </w:r>
          </w:p>
          <w:p>
            <w:pPr>
              <w:spacing w:line="460" w:lineRule="exact"/>
              <w:ind w:firstLine="5040" w:firstLineChars="2400"/>
              <w:rPr>
                <w:rFonts w:asciiTheme="minorEastAsia" w:hAnsiTheme="minorEastAsia" w:eastAsiaTheme="minorEastAsia"/>
                <w:sz w:val="21"/>
                <w:szCs w:val="21"/>
              </w:rPr>
            </w:pPr>
            <w:r>
              <w:rPr>
                <w:rFonts w:hint="eastAsia" w:asciiTheme="minorEastAsia" w:hAnsiTheme="minorEastAsia" w:eastAsiaTheme="minor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1905" w:type="dxa"/>
            <w:tcBorders>
              <w:top w:val="single" w:color="auto" w:sz="4" w:space="0"/>
            </w:tcBorders>
            <w:vAlign w:val="center"/>
          </w:tcPr>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  注</w:t>
            </w:r>
          </w:p>
        </w:tc>
        <w:tc>
          <w:tcPr>
            <w:tcW w:w="7383" w:type="dxa"/>
            <w:gridSpan w:val="3"/>
            <w:tcBorders>
              <w:top w:val="single" w:color="auto" w:sz="4" w:space="0"/>
            </w:tcBorders>
            <w:vAlign w:val="center"/>
          </w:tcPr>
          <w:p>
            <w:pPr>
              <w:spacing w:line="460" w:lineRule="exact"/>
              <w:rPr>
                <w:rFonts w:asciiTheme="minorEastAsia" w:hAnsiTheme="minorEastAsia" w:eastAsiaTheme="minorEastAsia"/>
                <w:sz w:val="21"/>
                <w:szCs w:val="21"/>
              </w:rPr>
            </w:pPr>
          </w:p>
        </w:tc>
      </w:tr>
    </w:tbl>
    <w:p>
      <w:pPr>
        <w:spacing w:line="500" w:lineRule="exact"/>
        <w:jc w:val="center"/>
        <w:rPr>
          <w:rFonts w:ascii="方正小标宋_GBK" w:hAnsi="宋体" w:eastAsia="方正小标宋_GBK"/>
          <w:sz w:val="44"/>
          <w:szCs w:val="44"/>
        </w:rPr>
      </w:pPr>
      <w:r>
        <w:rPr>
          <w:rFonts w:hint="eastAsia" w:ascii="方正小标宋_GBK" w:hAnsi="宋体" w:eastAsia="方正小标宋_GBK"/>
          <w:sz w:val="44"/>
          <w:szCs w:val="44"/>
        </w:rPr>
        <w:t>云南财经大学校外新闻媒体采访单</w:t>
      </w:r>
    </w:p>
    <w:p>
      <w:pPr>
        <w:spacing w:line="500" w:lineRule="exact"/>
        <w:rPr>
          <w:rFonts w:ascii="楷体_GB2312" w:hAnsi="楷体" w:eastAsia="楷体_GB2312"/>
          <w:sz w:val="24"/>
          <w:szCs w:val="24"/>
        </w:rPr>
      </w:pPr>
      <w:r>
        <w:rPr>
          <w:rFonts w:hint="eastAsia" w:ascii="楷体_GB2312" w:hAnsi="楷体" w:eastAsia="楷体_GB2312"/>
          <w:sz w:val="24"/>
          <w:szCs w:val="24"/>
        </w:rPr>
        <w:t>注：备案表一式三份，党委宣传部、媒体记者和拟采访单位（个人）各留一份。</w:t>
      </w:r>
    </w:p>
    <w:p>
      <w:pPr>
        <w:spacing w:line="500" w:lineRule="exact"/>
        <w:jc w:val="center"/>
        <w:rPr>
          <w:rFonts w:ascii="微软简标宋" w:hAnsi="宋体" w:eastAsia="微软简标宋"/>
          <w:sz w:val="44"/>
          <w:szCs w:val="44"/>
        </w:rPr>
      </w:pPr>
    </w:p>
    <w:p>
      <w:pPr>
        <w:spacing w:line="500" w:lineRule="exact"/>
        <w:jc w:val="center"/>
        <w:rPr>
          <w:rFonts w:ascii="方正小标宋_GBK" w:hAnsi="宋体" w:eastAsia="方正小标宋_GBK"/>
          <w:sz w:val="44"/>
          <w:szCs w:val="44"/>
        </w:rPr>
      </w:pPr>
      <w:r>
        <w:rPr>
          <w:rFonts w:hint="eastAsia" w:ascii="方正小标宋_GBK" w:hAnsi="宋体" w:eastAsia="方正小标宋_GBK"/>
          <w:sz w:val="44"/>
          <w:szCs w:val="44"/>
        </w:rPr>
        <w:t>云南财经大学新闻宣传通讯员基本信息表</w:t>
      </w:r>
    </w:p>
    <w:tbl>
      <w:tblPr>
        <w:tblStyle w:val="4"/>
        <w:tblpPr w:leftFromText="180" w:rightFromText="180" w:vertAnchor="page" w:horzAnchor="margin" w:tblpXSpec="center" w:tblpY="2521"/>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080"/>
        <w:gridCol w:w="668"/>
        <w:gridCol w:w="772"/>
        <w:gridCol w:w="79"/>
        <w:gridCol w:w="460"/>
        <w:gridCol w:w="901"/>
        <w:gridCol w:w="56"/>
        <w:gridCol w:w="486"/>
        <w:gridCol w:w="506"/>
        <w:gridCol w:w="572"/>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904" w:type="dxa"/>
            <w:tcBorders>
              <w:bottom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单位名称</w:t>
            </w:r>
          </w:p>
        </w:tc>
        <w:tc>
          <w:tcPr>
            <w:tcW w:w="3059" w:type="dxa"/>
            <w:gridSpan w:val="5"/>
            <w:vAlign w:val="center"/>
          </w:tcPr>
          <w:p>
            <w:pPr>
              <w:spacing w:line="500" w:lineRule="exact"/>
              <w:jc w:val="center"/>
              <w:rPr>
                <w:rFonts w:asciiTheme="minorEastAsia" w:hAnsiTheme="minorEastAsia" w:eastAsiaTheme="minorEastAsia"/>
                <w:sz w:val="21"/>
                <w:szCs w:val="21"/>
              </w:rPr>
            </w:pPr>
          </w:p>
        </w:tc>
        <w:tc>
          <w:tcPr>
            <w:tcW w:w="1443" w:type="dxa"/>
            <w:gridSpan w:val="3"/>
            <w:tcBorders>
              <w:bottom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通讯员姓名</w:t>
            </w:r>
          </w:p>
        </w:tc>
        <w:tc>
          <w:tcPr>
            <w:tcW w:w="2882" w:type="dxa"/>
            <w:gridSpan w:val="3"/>
            <w:tcBorders>
              <w:bottom w:val="single" w:color="auto" w:sz="4" w:space="0"/>
            </w:tcBorders>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904" w:type="dxa"/>
            <w:tcBorders>
              <w:top w:val="single" w:color="auto" w:sz="4" w:space="0"/>
              <w:bottom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性别</w:t>
            </w:r>
          </w:p>
        </w:tc>
        <w:tc>
          <w:tcPr>
            <w:tcW w:w="1080" w:type="dxa"/>
            <w:tcBorders>
              <w:bottom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c>
          <w:tcPr>
            <w:tcW w:w="1440" w:type="dxa"/>
            <w:gridSpan w:val="2"/>
            <w:tcBorders>
              <w:bottom w:val="single" w:color="auto" w:sz="4" w:space="0"/>
            </w:tcBorders>
            <w:shd w:val="clear" w:color="auto" w:fill="auto"/>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出生年月</w:t>
            </w:r>
          </w:p>
        </w:tc>
        <w:tc>
          <w:tcPr>
            <w:tcW w:w="1440" w:type="dxa"/>
            <w:gridSpan w:val="3"/>
            <w:tcBorders>
              <w:bottom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c>
          <w:tcPr>
            <w:tcW w:w="1620" w:type="dxa"/>
            <w:gridSpan w:val="4"/>
            <w:tcBorders>
              <w:bottom w:val="single" w:color="auto" w:sz="4" w:space="0"/>
            </w:tcBorders>
            <w:shd w:val="clear" w:color="auto" w:fill="auto"/>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政治面貌</w:t>
            </w:r>
          </w:p>
        </w:tc>
        <w:tc>
          <w:tcPr>
            <w:tcW w:w="1804" w:type="dxa"/>
            <w:tcBorders>
              <w:bottom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904" w:type="dxa"/>
            <w:tcBorders>
              <w:top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办公电话</w:t>
            </w:r>
          </w:p>
        </w:tc>
        <w:tc>
          <w:tcPr>
            <w:tcW w:w="3059" w:type="dxa"/>
            <w:gridSpan w:val="5"/>
            <w:tcBorders>
              <w:top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c>
          <w:tcPr>
            <w:tcW w:w="1443" w:type="dxa"/>
            <w:gridSpan w:val="3"/>
            <w:shd w:val="clear" w:color="auto" w:fill="auto"/>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手机</w:t>
            </w:r>
          </w:p>
        </w:tc>
        <w:tc>
          <w:tcPr>
            <w:tcW w:w="2882" w:type="dxa"/>
            <w:gridSpan w:val="3"/>
            <w:shd w:val="clear" w:color="auto" w:fill="auto"/>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904" w:type="dxa"/>
            <w:tcBorders>
              <w:top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邮箱地址</w:t>
            </w:r>
          </w:p>
        </w:tc>
        <w:tc>
          <w:tcPr>
            <w:tcW w:w="3059" w:type="dxa"/>
            <w:gridSpan w:val="5"/>
            <w:tcBorders>
              <w:top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c>
          <w:tcPr>
            <w:tcW w:w="1443" w:type="dxa"/>
            <w:gridSpan w:val="3"/>
            <w:shd w:val="clear" w:color="auto" w:fill="auto"/>
            <w:vAlign w:val="center"/>
          </w:tcPr>
          <w:p>
            <w:pPr>
              <w:spacing w:line="50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QQ号码</w:t>
            </w:r>
          </w:p>
        </w:tc>
        <w:tc>
          <w:tcPr>
            <w:tcW w:w="2882" w:type="dxa"/>
            <w:gridSpan w:val="3"/>
            <w:shd w:val="clear" w:color="auto" w:fill="auto"/>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904" w:type="dxa"/>
            <w:tcBorders>
              <w:top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职务（岗位）</w:t>
            </w:r>
          </w:p>
        </w:tc>
        <w:tc>
          <w:tcPr>
            <w:tcW w:w="1748" w:type="dxa"/>
            <w:gridSpan w:val="2"/>
            <w:tcBorders>
              <w:top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c>
          <w:tcPr>
            <w:tcW w:w="851" w:type="dxa"/>
            <w:gridSpan w:val="2"/>
            <w:tcBorders>
              <w:top w:val="single" w:color="auto" w:sz="4" w:space="0"/>
            </w:tcBorders>
            <w:shd w:val="clear" w:color="auto" w:fill="auto"/>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学历</w:t>
            </w:r>
          </w:p>
        </w:tc>
        <w:tc>
          <w:tcPr>
            <w:tcW w:w="1417" w:type="dxa"/>
            <w:gridSpan w:val="3"/>
            <w:tcBorders>
              <w:top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c>
          <w:tcPr>
            <w:tcW w:w="992" w:type="dxa"/>
            <w:gridSpan w:val="2"/>
            <w:tcBorders>
              <w:top w:val="single" w:color="auto" w:sz="4" w:space="0"/>
            </w:tcBorders>
            <w:shd w:val="clear" w:color="auto" w:fill="auto"/>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专业</w:t>
            </w:r>
          </w:p>
        </w:tc>
        <w:tc>
          <w:tcPr>
            <w:tcW w:w="2376" w:type="dxa"/>
            <w:gridSpan w:val="2"/>
            <w:tcBorders>
              <w:top w:val="single" w:color="auto" w:sz="4" w:space="0"/>
            </w:tcBorders>
            <w:shd w:val="clear" w:color="auto" w:fill="auto"/>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trPr>
        <w:tc>
          <w:tcPr>
            <w:tcW w:w="1904" w:type="dxa"/>
            <w:tcBorders>
              <w:top w:val="single" w:color="auto" w:sz="12" w:space="0"/>
              <w:bottom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通讯员所在单位</w:t>
            </w:r>
          </w:p>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意  见</w:t>
            </w:r>
          </w:p>
        </w:tc>
        <w:tc>
          <w:tcPr>
            <w:tcW w:w="7384" w:type="dxa"/>
            <w:gridSpan w:val="11"/>
            <w:tcBorders>
              <w:top w:val="single" w:color="auto" w:sz="12" w:space="0"/>
            </w:tcBorders>
            <w:vAlign w:val="center"/>
          </w:tcPr>
          <w:p>
            <w:pPr>
              <w:spacing w:line="500" w:lineRule="exact"/>
              <w:ind w:firstLine="3990" w:firstLineChars="1900"/>
              <w:rPr>
                <w:rFonts w:asciiTheme="minorEastAsia" w:hAnsiTheme="minorEastAsia" w:eastAsiaTheme="minorEastAsia"/>
                <w:sz w:val="21"/>
                <w:szCs w:val="21"/>
              </w:rPr>
            </w:pPr>
          </w:p>
          <w:p>
            <w:pPr>
              <w:spacing w:line="500" w:lineRule="exact"/>
              <w:ind w:firstLine="3990" w:firstLineChars="1900"/>
              <w:rPr>
                <w:rFonts w:asciiTheme="minorEastAsia" w:hAnsiTheme="minorEastAsia" w:eastAsiaTheme="minorEastAsia"/>
                <w:sz w:val="21"/>
                <w:szCs w:val="21"/>
              </w:rPr>
            </w:pPr>
          </w:p>
          <w:p>
            <w:pPr>
              <w:spacing w:line="500" w:lineRule="exact"/>
              <w:ind w:firstLine="3990" w:firstLineChars="1900"/>
              <w:rPr>
                <w:rFonts w:asciiTheme="minorEastAsia" w:hAnsiTheme="minorEastAsia" w:eastAsiaTheme="minorEastAsia"/>
                <w:sz w:val="21"/>
                <w:szCs w:val="21"/>
              </w:rPr>
            </w:pPr>
          </w:p>
          <w:p>
            <w:pPr>
              <w:spacing w:line="500" w:lineRule="exact"/>
              <w:ind w:firstLine="3990" w:firstLineChars="1900"/>
              <w:rPr>
                <w:rFonts w:asciiTheme="minorEastAsia" w:hAnsiTheme="minorEastAsia" w:eastAsiaTheme="minorEastAsia"/>
                <w:sz w:val="21"/>
                <w:szCs w:val="21"/>
              </w:rPr>
            </w:pPr>
          </w:p>
          <w:p>
            <w:pPr>
              <w:spacing w:line="500" w:lineRule="exact"/>
              <w:ind w:firstLine="3990" w:firstLineChars="1900"/>
              <w:rPr>
                <w:rFonts w:asciiTheme="minorEastAsia" w:hAnsiTheme="minorEastAsia" w:eastAsiaTheme="minorEastAsia"/>
                <w:sz w:val="21"/>
                <w:szCs w:val="21"/>
              </w:rPr>
            </w:pPr>
          </w:p>
          <w:p>
            <w:pPr>
              <w:spacing w:line="500" w:lineRule="exact"/>
              <w:ind w:firstLine="5145" w:firstLineChars="2450"/>
              <w:rPr>
                <w:rFonts w:asciiTheme="minorEastAsia" w:hAnsiTheme="minorEastAsia" w:eastAsiaTheme="minorEastAsia"/>
                <w:sz w:val="21"/>
                <w:szCs w:val="21"/>
              </w:rPr>
            </w:pPr>
            <w:r>
              <w:rPr>
                <w:rFonts w:hint="eastAsia" w:asciiTheme="minorEastAsia" w:hAnsiTheme="minorEastAsia" w:eastAsiaTheme="minorEastAsia"/>
                <w:sz w:val="21"/>
                <w:szCs w:val="21"/>
              </w:rPr>
              <w:t>签  章：</w:t>
            </w:r>
          </w:p>
          <w:p>
            <w:pPr>
              <w:spacing w:line="500" w:lineRule="exact"/>
              <w:ind w:firstLine="5145" w:firstLineChars="2450"/>
              <w:rPr>
                <w:rFonts w:asciiTheme="minorEastAsia" w:hAnsiTheme="minorEastAsia" w:eastAsiaTheme="minorEastAsia"/>
                <w:sz w:val="21"/>
                <w:szCs w:val="21"/>
              </w:rPr>
            </w:pPr>
            <w:r>
              <w:rPr>
                <w:rFonts w:hint="eastAsia" w:asciiTheme="minorEastAsia" w:hAnsiTheme="minorEastAsia" w:eastAsiaTheme="minor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1904" w:type="dxa"/>
            <w:tcBorders>
              <w:top w:val="single" w:color="auto" w:sz="12" w:space="0"/>
              <w:bottom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党委宣传部</w:t>
            </w:r>
          </w:p>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（新闻中心）</w:t>
            </w:r>
          </w:p>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意  见</w:t>
            </w:r>
          </w:p>
        </w:tc>
        <w:tc>
          <w:tcPr>
            <w:tcW w:w="7384" w:type="dxa"/>
            <w:gridSpan w:val="11"/>
            <w:tcBorders>
              <w:top w:val="single" w:color="auto" w:sz="12" w:space="0"/>
              <w:bottom w:val="single" w:color="auto" w:sz="4" w:space="0"/>
            </w:tcBorders>
            <w:vAlign w:val="center"/>
          </w:tcPr>
          <w:p>
            <w:pPr>
              <w:spacing w:line="500" w:lineRule="exact"/>
              <w:rPr>
                <w:rFonts w:asciiTheme="minorEastAsia" w:hAnsiTheme="minorEastAsia" w:eastAsiaTheme="minorEastAsia"/>
                <w:sz w:val="21"/>
                <w:szCs w:val="21"/>
              </w:rPr>
            </w:pPr>
          </w:p>
          <w:p>
            <w:pPr>
              <w:spacing w:line="500" w:lineRule="exact"/>
              <w:rPr>
                <w:rFonts w:asciiTheme="minorEastAsia" w:hAnsiTheme="minorEastAsia" w:eastAsiaTheme="minorEastAsia"/>
                <w:sz w:val="21"/>
                <w:szCs w:val="21"/>
              </w:rPr>
            </w:pPr>
          </w:p>
          <w:p>
            <w:pPr>
              <w:spacing w:line="500" w:lineRule="exact"/>
              <w:ind w:firstLine="5145" w:firstLineChars="2450"/>
              <w:rPr>
                <w:rFonts w:asciiTheme="minorEastAsia" w:hAnsiTheme="minorEastAsia" w:eastAsiaTheme="minorEastAsia"/>
                <w:sz w:val="21"/>
                <w:szCs w:val="21"/>
              </w:rPr>
            </w:pPr>
            <w:r>
              <w:rPr>
                <w:rFonts w:hint="eastAsia" w:asciiTheme="minorEastAsia" w:hAnsiTheme="minorEastAsia" w:eastAsiaTheme="minorEastAsia"/>
                <w:sz w:val="21"/>
                <w:szCs w:val="21"/>
              </w:rPr>
              <w:t>签  章：</w:t>
            </w:r>
          </w:p>
          <w:p>
            <w:pPr>
              <w:spacing w:line="500" w:lineRule="exact"/>
              <w:ind w:firstLine="5145" w:firstLineChars="2450"/>
              <w:rPr>
                <w:rFonts w:asciiTheme="minorEastAsia" w:hAnsiTheme="minorEastAsia" w:eastAsiaTheme="minorEastAsia"/>
                <w:sz w:val="21"/>
                <w:szCs w:val="21"/>
              </w:rPr>
            </w:pPr>
            <w:r>
              <w:rPr>
                <w:rFonts w:hint="eastAsia" w:asciiTheme="minorEastAsia" w:hAnsiTheme="minorEastAsia" w:eastAsiaTheme="minor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trPr>
        <w:tc>
          <w:tcPr>
            <w:tcW w:w="1904" w:type="dxa"/>
            <w:tcBorders>
              <w:top w:val="single" w:color="auto" w:sz="4"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  注</w:t>
            </w:r>
          </w:p>
        </w:tc>
        <w:tc>
          <w:tcPr>
            <w:tcW w:w="7384" w:type="dxa"/>
            <w:gridSpan w:val="11"/>
            <w:tcBorders>
              <w:top w:val="single" w:color="auto" w:sz="4" w:space="0"/>
            </w:tcBorders>
            <w:vAlign w:val="center"/>
          </w:tcPr>
          <w:p>
            <w:pPr>
              <w:spacing w:line="500" w:lineRule="exact"/>
              <w:rPr>
                <w:rFonts w:asciiTheme="minorEastAsia" w:hAnsiTheme="minorEastAsia" w:eastAsiaTheme="minorEastAsia"/>
                <w:sz w:val="21"/>
                <w:szCs w:val="21"/>
              </w:rPr>
            </w:pPr>
          </w:p>
        </w:tc>
      </w:tr>
    </w:tbl>
    <w:p>
      <w:pPr>
        <w:widowControl/>
        <w:jc w:val="left"/>
        <w:rPr>
          <w:rFonts w:ascii="楷体_GB2312" w:hAnsi="楷体" w:eastAsia="楷体_GB2312"/>
          <w:sz w:val="21"/>
          <w:szCs w:val="21"/>
        </w:rPr>
      </w:pPr>
    </w:p>
    <w:p>
      <w:pPr>
        <w:widowControl/>
        <w:jc w:val="left"/>
        <w:rPr>
          <w:rFonts w:ascii="楷体_GB2312" w:hAnsi="楷体" w:eastAsia="楷体_GB2312"/>
          <w:sz w:val="24"/>
          <w:szCs w:val="24"/>
        </w:rPr>
      </w:pPr>
      <w:r>
        <w:rPr>
          <w:rFonts w:hint="eastAsia" w:ascii="楷体_GB2312" w:hAnsi="楷体" w:eastAsia="楷体_GB2312"/>
          <w:sz w:val="24"/>
          <w:szCs w:val="24"/>
        </w:rPr>
        <w:t>注：备案表一式二份，党委宣传部、新闻宣传通讯员所在单位各留一份。</w:t>
      </w:r>
    </w:p>
    <w:p/>
    <w:sectPr>
      <w:footerReference r:id="rId3" w:type="default"/>
      <w:footerReference r:id="rId4"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159"/>
      <w:docPartObj>
        <w:docPartGallery w:val="AutoText"/>
      </w:docPartObj>
    </w:sdtPr>
    <w:sdtContent>
      <w:p>
        <w:pPr>
          <w:pStyle w:val="2"/>
          <w:numPr>
            <w:ilvl w:val="0"/>
            <w:numId w:val="1"/>
          </w:numPr>
          <w:ind w:left="357" w:right="320" w:rightChars="100" w:hanging="357"/>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r>
          <w:rPr>
            <w:rFonts w:hint="eastAsia"/>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160"/>
      <w:docPartObj>
        <w:docPartGallery w:val="AutoText"/>
      </w:docPartObj>
    </w:sdtPr>
    <w:sdtContent>
      <w:p>
        <w:pPr>
          <w:pStyle w:val="2"/>
          <w:numPr>
            <w:ilvl w:val="0"/>
            <w:numId w:val="2"/>
          </w:num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355A1"/>
    <w:multiLevelType w:val="multilevel"/>
    <w:tmpl w:val="360355A1"/>
    <w:lvl w:ilvl="0" w:tentative="0">
      <w:start w:val="0"/>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3B951AF"/>
    <w:multiLevelType w:val="multilevel"/>
    <w:tmpl w:val="73B951AF"/>
    <w:lvl w:ilvl="0" w:tentative="0">
      <w:start w:val="0"/>
      <w:numFmt w:val="bullet"/>
      <w:lvlText w:val="—"/>
      <w:lvlJc w:val="left"/>
      <w:pPr>
        <w:ind w:left="680" w:hanging="360"/>
      </w:pPr>
      <w:rPr>
        <w:rFonts w:hint="eastAsia" w:ascii="宋体" w:hAnsi="宋体" w:eastAsia="宋体" w:cs="Times New Roman"/>
        <w:sz w:val="28"/>
      </w:rPr>
    </w:lvl>
    <w:lvl w:ilvl="1" w:tentative="0">
      <w:start w:val="1"/>
      <w:numFmt w:val="bullet"/>
      <w:lvlText w:val=""/>
      <w:lvlJc w:val="left"/>
      <w:pPr>
        <w:ind w:left="1160" w:hanging="420"/>
      </w:pPr>
      <w:rPr>
        <w:rFonts w:hint="default" w:ascii="Wingdings" w:hAnsi="Wingdings"/>
      </w:rPr>
    </w:lvl>
    <w:lvl w:ilvl="2" w:tentative="0">
      <w:start w:val="1"/>
      <w:numFmt w:val="bullet"/>
      <w:lvlText w:val=""/>
      <w:lvlJc w:val="left"/>
      <w:pPr>
        <w:ind w:left="1580" w:hanging="420"/>
      </w:pPr>
      <w:rPr>
        <w:rFonts w:hint="default" w:ascii="Wingdings" w:hAnsi="Wingdings"/>
      </w:rPr>
    </w:lvl>
    <w:lvl w:ilvl="3" w:tentative="0">
      <w:start w:val="1"/>
      <w:numFmt w:val="bullet"/>
      <w:lvlText w:val=""/>
      <w:lvlJc w:val="left"/>
      <w:pPr>
        <w:ind w:left="2000" w:hanging="420"/>
      </w:pPr>
      <w:rPr>
        <w:rFonts w:hint="default" w:ascii="Wingdings" w:hAnsi="Wingdings"/>
      </w:rPr>
    </w:lvl>
    <w:lvl w:ilvl="4" w:tentative="0">
      <w:start w:val="1"/>
      <w:numFmt w:val="bullet"/>
      <w:lvlText w:val=""/>
      <w:lvlJc w:val="left"/>
      <w:pPr>
        <w:ind w:left="2420" w:hanging="420"/>
      </w:pPr>
      <w:rPr>
        <w:rFonts w:hint="default" w:ascii="Wingdings" w:hAnsi="Wingdings"/>
      </w:rPr>
    </w:lvl>
    <w:lvl w:ilvl="5" w:tentative="0">
      <w:start w:val="1"/>
      <w:numFmt w:val="bullet"/>
      <w:lvlText w:val=""/>
      <w:lvlJc w:val="left"/>
      <w:pPr>
        <w:ind w:left="2840" w:hanging="420"/>
      </w:pPr>
      <w:rPr>
        <w:rFonts w:hint="default" w:ascii="Wingdings" w:hAnsi="Wingdings"/>
      </w:rPr>
    </w:lvl>
    <w:lvl w:ilvl="6" w:tentative="0">
      <w:start w:val="1"/>
      <w:numFmt w:val="bullet"/>
      <w:lvlText w:val=""/>
      <w:lvlJc w:val="left"/>
      <w:pPr>
        <w:ind w:left="3260" w:hanging="420"/>
      </w:pPr>
      <w:rPr>
        <w:rFonts w:hint="default" w:ascii="Wingdings" w:hAnsi="Wingdings"/>
      </w:rPr>
    </w:lvl>
    <w:lvl w:ilvl="7" w:tentative="0">
      <w:start w:val="1"/>
      <w:numFmt w:val="bullet"/>
      <w:lvlText w:val=""/>
      <w:lvlJc w:val="left"/>
      <w:pPr>
        <w:ind w:left="3680" w:hanging="420"/>
      </w:pPr>
      <w:rPr>
        <w:rFonts w:hint="default" w:ascii="Wingdings" w:hAnsi="Wingdings"/>
      </w:rPr>
    </w:lvl>
    <w:lvl w:ilvl="8" w:tentative="0">
      <w:start w:val="1"/>
      <w:numFmt w:val="bullet"/>
      <w:lvlText w:val=""/>
      <w:lvlJc w:val="left"/>
      <w:pPr>
        <w:ind w:left="41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81"/>
    <w:rsid w:val="00000622"/>
    <w:rsid w:val="00037908"/>
    <w:rsid w:val="00045456"/>
    <w:rsid w:val="00081581"/>
    <w:rsid w:val="00082EC5"/>
    <w:rsid w:val="000A4268"/>
    <w:rsid w:val="001052E8"/>
    <w:rsid w:val="0013363A"/>
    <w:rsid w:val="0016020E"/>
    <w:rsid w:val="001A67ED"/>
    <w:rsid w:val="001C2D21"/>
    <w:rsid w:val="001D2A85"/>
    <w:rsid w:val="001D62AD"/>
    <w:rsid w:val="00202DE8"/>
    <w:rsid w:val="00222F00"/>
    <w:rsid w:val="002268BE"/>
    <w:rsid w:val="00252445"/>
    <w:rsid w:val="00262C98"/>
    <w:rsid w:val="00272BA0"/>
    <w:rsid w:val="00273172"/>
    <w:rsid w:val="00274B19"/>
    <w:rsid w:val="00281A2E"/>
    <w:rsid w:val="002A151E"/>
    <w:rsid w:val="002B2058"/>
    <w:rsid w:val="002D07DA"/>
    <w:rsid w:val="002D794D"/>
    <w:rsid w:val="002E24B1"/>
    <w:rsid w:val="002F41A6"/>
    <w:rsid w:val="002F48B7"/>
    <w:rsid w:val="003162FC"/>
    <w:rsid w:val="003242A6"/>
    <w:rsid w:val="0033731C"/>
    <w:rsid w:val="0036617F"/>
    <w:rsid w:val="003C264C"/>
    <w:rsid w:val="003F46B3"/>
    <w:rsid w:val="004144ED"/>
    <w:rsid w:val="00425B1A"/>
    <w:rsid w:val="00427E72"/>
    <w:rsid w:val="0047082C"/>
    <w:rsid w:val="004A4830"/>
    <w:rsid w:val="004A4D33"/>
    <w:rsid w:val="004D5AC5"/>
    <w:rsid w:val="004F3634"/>
    <w:rsid w:val="004F515D"/>
    <w:rsid w:val="005441B8"/>
    <w:rsid w:val="00562873"/>
    <w:rsid w:val="005C5422"/>
    <w:rsid w:val="005E2FC6"/>
    <w:rsid w:val="005E3AA6"/>
    <w:rsid w:val="005E5CCF"/>
    <w:rsid w:val="005F2DDC"/>
    <w:rsid w:val="0062645D"/>
    <w:rsid w:val="006736CD"/>
    <w:rsid w:val="006E30BE"/>
    <w:rsid w:val="006E6A8D"/>
    <w:rsid w:val="007428E2"/>
    <w:rsid w:val="00785EDD"/>
    <w:rsid w:val="00786A11"/>
    <w:rsid w:val="007A4264"/>
    <w:rsid w:val="007B0279"/>
    <w:rsid w:val="007B67B6"/>
    <w:rsid w:val="007E3CF3"/>
    <w:rsid w:val="00804E2B"/>
    <w:rsid w:val="00830F12"/>
    <w:rsid w:val="00836B8E"/>
    <w:rsid w:val="008461DF"/>
    <w:rsid w:val="00852E44"/>
    <w:rsid w:val="00896BEB"/>
    <w:rsid w:val="008B4895"/>
    <w:rsid w:val="008D2E8D"/>
    <w:rsid w:val="008E62EE"/>
    <w:rsid w:val="008F79DC"/>
    <w:rsid w:val="00922009"/>
    <w:rsid w:val="0094176A"/>
    <w:rsid w:val="00943FD8"/>
    <w:rsid w:val="00950343"/>
    <w:rsid w:val="009576AE"/>
    <w:rsid w:val="009647C3"/>
    <w:rsid w:val="00972F95"/>
    <w:rsid w:val="009820B2"/>
    <w:rsid w:val="009E38AD"/>
    <w:rsid w:val="009F53B4"/>
    <w:rsid w:val="00A1783A"/>
    <w:rsid w:val="00A348E0"/>
    <w:rsid w:val="00A445A2"/>
    <w:rsid w:val="00A52473"/>
    <w:rsid w:val="00A65E4A"/>
    <w:rsid w:val="00AB3787"/>
    <w:rsid w:val="00AB589D"/>
    <w:rsid w:val="00AD0066"/>
    <w:rsid w:val="00AE01B6"/>
    <w:rsid w:val="00AE3163"/>
    <w:rsid w:val="00B25569"/>
    <w:rsid w:val="00B36FF6"/>
    <w:rsid w:val="00B44F98"/>
    <w:rsid w:val="00B80FF7"/>
    <w:rsid w:val="00BB5328"/>
    <w:rsid w:val="00BD0273"/>
    <w:rsid w:val="00C12CFD"/>
    <w:rsid w:val="00C6058E"/>
    <w:rsid w:val="00C706C0"/>
    <w:rsid w:val="00C76B73"/>
    <w:rsid w:val="00C86CA3"/>
    <w:rsid w:val="00CB47FC"/>
    <w:rsid w:val="00CD2879"/>
    <w:rsid w:val="00CD4D3C"/>
    <w:rsid w:val="00D45DF8"/>
    <w:rsid w:val="00D955FE"/>
    <w:rsid w:val="00DA4918"/>
    <w:rsid w:val="00DB571D"/>
    <w:rsid w:val="00DB7160"/>
    <w:rsid w:val="00DE2C5A"/>
    <w:rsid w:val="00E16458"/>
    <w:rsid w:val="00E41199"/>
    <w:rsid w:val="00E801E4"/>
    <w:rsid w:val="00EA23E8"/>
    <w:rsid w:val="00EA7736"/>
    <w:rsid w:val="00EA7C89"/>
    <w:rsid w:val="00ED3A9C"/>
    <w:rsid w:val="00EF19D6"/>
    <w:rsid w:val="00F2519F"/>
    <w:rsid w:val="00F41B5D"/>
    <w:rsid w:val="00F45694"/>
    <w:rsid w:val="00F523C4"/>
    <w:rsid w:val="00F54E90"/>
    <w:rsid w:val="00F9495D"/>
    <w:rsid w:val="00FA71BF"/>
    <w:rsid w:val="00FF42C4"/>
    <w:rsid w:val="4F16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仿宋_GB2312" w:cs="Times New Roman"/>
      <w:sz w:val="18"/>
      <w:szCs w:val="18"/>
    </w:rPr>
  </w:style>
  <w:style w:type="character" w:customStyle="1" w:styleId="7">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472</Words>
  <Characters>2694</Characters>
  <Lines>22</Lines>
  <Paragraphs>6</Paragraphs>
  <TotalTime>14</TotalTime>
  <ScaleCrop>false</ScaleCrop>
  <LinksUpToDate>false</LinksUpToDate>
  <CharactersWithSpaces>3160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2019-05-23T08:16:00Z</dcterms:created>
  <dc:creator>吴炳昕【党委宣传部】</dc:creator>
  <cp:lastModifiedBy>刘继发</cp:lastModifiedBy>
  <cp:lastPrinted>2019-05-23T08:58:00Z</cp:lastPrinted>
  <dcterms:modified xsi:type="dcterms:W3CDTF">2019-05-24T01:33:58Z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