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资产经营有限公司房产及设施设备维修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费预算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widowControl/>
        <w:ind w:left="-420" w:leftChars="-200" w:right="-313" w:rightChars="-149" w:firstLine="0" w:firstLineChars="0"/>
        <w:jc w:val="left"/>
        <w:rPr>
          <w:rFonts w:hAnsi="宋体"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申报单位（部门）：</w:t>
      </w:r>
      <w:r>
        <w:rPr>
          <w:rFonts w:hint="eastAsia" w:hAnsi="宋体"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  <w:lang w:val="en-US" w:eastAsia="zh-CN"/>
        </w:rPr>
        <w:t xml:space="preserve">           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>申请人 ：</w:t>
      </w:r>
      <w:r>
        <w:rPr>
          <w:rFonts w:hint="eastAsia" w:hAnsi="宋体"/>
          <w:sz w:val="28"/>
          <w:szCs w:val="28"/>
          <w:lang w:val="en-US" w:eastAsia="zh-CN"/>
        </w:rPr>
        <w:t xml:space="preserve">      </w:t>
      </w:r>
      <w:r>
        <w:rPr>
          <w:rFonts w:hint="eastAsia" w:hAnsi="宋体"/>
          <w:sz w:val="28"/>
          <w:szCs w:val="28"/>
        </w:rPr>
        <w:t xml:space="preserve"> 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>日期：</w:t>
      </w:r>
      <w:r>
        <w:rPr>
          <w:rFonts w:hint="eastAsia" w:hAnsi="宋体"/>
          <w:sz w:val="28"/>
          <w:szCs w:val="28"/>
          <w:lang w:val="en-US" w:eastAsia="zh-CN"/>
        </w:rPr>
        <w:t xml:space="preserve">   年  月   日</w:t>
      </w:r>
      <w:r>
        <w:rPr>
          <w:rFonts w:hint="eastAsia" w:hAnsi="宋体"/>
          <w:sz w:val="28"/>
          <w:szCs w:val="28"/>
        </w:rPr>
        <w:t xml:space="preserve">                                                                  </w:t>
      </w:r>
    </w:p>
    <w:tbl>
      <w:tblPr>
        <w:tblStyle w:val="4"/>
        <w:tblW w:w="5319" w:type="pct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641"/>
        <w:gridCol w:w="1032"/>
        <w:gridCol w:w="858"/>
        <w:gridCol w:w="152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sz w:val="28"/>
                <w:szCs w:val="28"/>
                <w:lang w:val="en-US" w:eastAsia="zh-CN"/>
              </w:rPr>
              <w:t>房产、设施设备</w:t>
            </w: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02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预算</w:t>
            </w:r>
            <w:r>
              <w:rPr>
                <w:rFonts w:hint="eastAsia" w:hAnsi="宋体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4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维修</w:t>
            </w:r>
            <w:r>
              <w:rPr>
                <w:rFonts w:hint="eastAsia" w:hAnsi="宋体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4066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textAlignment w:val="auto"/>
              <w:rPr>
                <w:rFonts w:hint="default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表格不够填写，可后附材料（请示）。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9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</w:rPr>
              <w:t>部门</w:t>
            </w: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负责人审核意见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公司分管领导审校意见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9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分管财务领导审核意见</w:t>
            </w:r>
          </w:p>
        </w:tc>
        <w:tc>
          <w:tcPr>
            <w:tcW w:w="14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textAlignment w:val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签</w:t>
            </w:r>
          </w:p>
        </w:tc>
        <w:tc>
          <w:tcPr>
            <w:tcW w:w="10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15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textAlignment w:val="auto"/>
              <w:rPr>
                <w:rFonts w:hint="eastAsia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0" w:leftChars="-200" w:right="-313" w:rightChars="-149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说明：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本审批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表据《云南财经大学资产经营有限公司财务审批制度（试行）》制定，用于公司各部门办公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生产经营用房和车辆以及其它经营生产设施、设备维修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的事前审批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0" w:leftChars="-200" w:right="-313" w:rightChars="-149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审批权限为：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一次性开支（含一次单笔或一次多笔累计，下同）在500元以下（含500元）的由公司二级单位负责人审批；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一次性开支在500元以上1,000元（含1,000元）以下的由公司二级单位负责人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、公司分管领导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审批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；3.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一次性开支在1,000元以上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元（含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元）以下的由公司二级单位负责人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、公司分管领导、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分管财务领导审批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；4.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一次性开支在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元以上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5000元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（含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元）以下的由公司二级单位负责人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、公司分管领导、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分管财务领导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、总经理审批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一次性开支超过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的，须经公司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相关会议审批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969EB"/>
    <w:rsid w:val="0F960E12"/>
    <w:rsid w:val="1DD8004C"/>
    <w:rsid w:val="21D94FA1"/>
    <w:rsid w:val="27750B67"/>
    <w:rsid w:val="2A0969EB"/>
    <w:rsid w:val="3B5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2021-06-03T03:51:00Z</dcterms:created>
  <dc:creator>吴宁江【资产经营有限公司】</dc:creator>
  <cp:lastModifiedBy>吴宁江【资产经营有限公司】</cp:lastModifiedBy>
  <cp:lastPrinted>2021-06-04T01:26:58Z</cp:lastPrinted>
  <dcterms:modified xsi:type="dcterms:W3CDTF">2021-06-04T09:00:03Z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2C33355C875141EA8565A3F210D14090</vt:lpwstr>
  </property>
</Properties>
</file>