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Cs w:val="32"/>
        </w:rPr>
      </w:pPr>
      <w:bookmarkStart w:id="0" w:name="_GoBack"/>
      <w:bookmarkEnd w:id="0"/>
      <w:r>
        <w:rPr>
          <w:rFonts w:hAnsi="黑体" w:eastAsia="黑体"/>
          <w:szCs w:val="32"/>
        </w:rPr>
        <w:t>附件</w:t>
      </w:r>
      <w:r>
        <w:rPr>
          <w:rFonts w:eastAsia="黑体"/>
          <w:szCs w:val="32"/>
        </w:rPr>
        <w:t>3</w:t>
      </w:r>
    </w:p>
    <w:p>
      <w:pPr>
        <w:rPr>
          <w:rFonts w:ascii="黑体" w:hAnsi="黑体" w:eastAsia="黑体"/>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云南财经大学新媒体建设</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与管理办法（修订）</w:t>
      </w:r>
    </w:p>
    <w:p>
      <w:pPr>
        <w:spacing w:line="640" w:lineRule="exact"/>
        <w:rPr>
          <w:rFonts w:ascii="仿宋_GB2312" w:hAnsi="仿宋" w:cs="Helvetica"/>
          <w:color w:val="3E3E3E"/>
          <w:szCs w:val="32"/>
        </w:rPr>
      </w:pPr>
    </w:p>
    <w:p>
      <w:pPr>
        <w:numPr>
          <w:ilvl w:val="0"/>
          <w:numId w:val="3"/>
        </w:numPr>
        <w:spacing w:line="640" w:lineRule="exact"/>
        <w:jc w:val="center"/>
        <w:rPr>
          <w:rFonts w:ascii="黑体" w:hAnsi="黑体" w:eastAsia="黑体"/>
          <w:sz w:val="30"/>
          <w:szCs w:val="30"/>
        </w:rPr>
      </w:pPr>
      <w:r>
        <w:rPr>
          <w:rFonts w:hint="eastAsia" w:ascii="黑体" w:hAnsi="黑体" w:eastAsia="黑体"/>
          <w:sz w:val="30"/>
          <w:szCs w:val="30"/>
        </w:rPr>
        <w:t xml:space="preserve"> 总  则</w:t>
      </w:r>
    </w:p>
    <w:p>
      <w:pPr>
        <w:spacing w:line="640" w:lineRule="exact"/>
        <w:ind w:firstLine="643" w:firstLineChars="200"/>
        <w:rPr>
          <w:rFonts w:ascii="仿宋_GB2312" w:hAnsi="华文仿宋"/>
          <w:szCs w:val="32"/>
        </w:rPr>
      </w:pPr>
      <w:r>
        <w:rPr>
          <w:rFonts w:hint="eastAsia" w:ascii="楷体_GB2312" w:eastAsia="楷体_GB2312"/>
          <w:b/>
          <w:szCs w:val="32"/>
        </w:rPr>
        <w:t>第一条</w:t>
      </w:r>
      <w:r>
        <w:rPr>
          <w:rFonts w:hint="eastAsia" w:ascii="楷体" w:hAnsi="楷体" w:eastAsia="楷体" w:cs="Helvetica"/>
          <w:color w:val="3E3E3E"/>
          <w:szCs w:val="32"/>
        </w:rPr>
        <w:t xml:space="preserve"> </w:t>
      </w:r>
      <w:r>
        <w:rPr>
          <w:rFonts w:hint="eastAsia" w:ascii="仿宋_GB2312" w:hAnsi="仿宋" w:cs="Helvetica"/>
          <w:color w:val="3E3E3E"/>
          <w:szCs w:val="32"/>
        </w:rPr>
        <w:t xml:space="preserve"> </w:t>
      </w:r>
      <w:r>
        <w:rPr>
          <w:rFonts w:hint="eastAsia" w:ascii="仿宋_GB2312" w:hAnsi="华文仿宋"/>
          <w:szCs w:val="32"/>
        </w:rPr>
        <w:t>为规范我校新媒体建设与管理，推动新媒体平台建设健康有序发展，充分发挥校园新媒体平台在学校形象展示、新闻信息发布、社会舆论引导及社会服务提供等方面的积极作用，构建集群化、系统化、网络化的新媒体工作格局，营造良好的网络舆论环境，根据教育部、国家互联网信息办公室《关于进一步加强高等学校网络建设和管理工作的意见》和《互联网信息服务管理办法》等国家法律法规，结合学校实际，制订本办法。</w:t>
      </w:r>
    </w:p>
    <w:p>
      <w:pPr>
        <w:spacing w:line="640" w:lineRule="exact"/>
        <w:ind w:firstLine="643" w:firstLineChars="200"/>
        <w:rPr>
          <w:rFonts w:ascii="仿宋_GB2312" w:hAnsi="仿宋" w:cs="Helvetica"/>
          <w:color w:val="3E3E3E"/>
          <w:szCs w:val="32"/>
        </w:rPr>
      </w:pPr>
      <w:r>
        <w:rPr>
          <w:rFonts w:hint="eastAsia" w:ascii="楷体_GB2312" w:eastAsia="楷体_GB2312"/>
          <w:b/>
          <w:szCs w:val="32"/>
        </w:rPr>
        <w:t>第二条</w:t>
      </w:r>
      <w:r>
        <w:rPr>
          <w:rFonts w:hint="eastAsia" w:ascii="仿宋_GB2312" w:hAnsi="仿宋" w:cs="Helvetica"/>
          <w:color w:val="3E3E3E"/>
          <w:szCs w:val="32"/>
        </w:rPr>
        <w:t xml:space="preserve"> </w:t>
      </w:r>
      <w:r>
        <w:rPr>
          <w:rFonts w:hint="eastAsia" w:ascii="仿宋_GB2312" w:hAnsi="华文仿宋"/>
          <w:szCs w:val="32"/>
        </w:rPr>
        <w:t>本办法所指新媒体是指依托网络、手机等互联网终端运行的传播介质，包括但不限于微博、微信、QQ、APP、网络视频、微电影、手机报、移动电视等信息传播方式。</w:t>
      </w:r>
    </w:p>
    <w:p>
      <w:pPr>
        <w:spacing w:line="640" w:lineRule="exact"/>
        <w:ind w:firstLine="643" w:firstLineChars="200"/>
        <w:rPr>
          <w:rFonts w:ascii="仿宋_GB2312" w:hAnsi="仿宋" w:cs="Helvetica"/>
          <w:color w:val="3E3E3E"/>
          <w:szCs w:val="32"/>
        </w:rPr>
      </w:pPr>
      <w:r>
        <w:rPr>
          <w:rFonts w:hint="eastAsia" w:ascii="楷体_GB2312" w:eastAsia="楷体_GB2312"/>
          <w:b/>
          <w:szCs w:val="32"/>
        </w:rPr>
        <w:t>第三条</w:t>
      </w:r>
      <w:r>
        <w:rPr>
          <w:rFonts w:hint="eastAsia" w:ascii="楷体" w:hAnsi="楷体" w:eastAsia="楷体" w:cs="Helvetica"/>
          <w:b/>
          <w:color w:val="3E3E3E"/>
          <w:szCs w:val="32"/>
        </w:rPr>
        <w:t xml:space="preserve"> </w:t>
      </w:r>
      <w:r>
        <w:rPr>
          <w:rFonts w:hint="eastAsia" w:ascii="楷体" w:hAnsi="楷体" w:eastAsia="楷体" w:cs="Helvetica"/>
          <w:b/>
          <w:color w:val="FF0000"/>
          <w:szCs w:val="32"/>
        </w:rPr>
        <w:t xml:space="preserve"> </w:t>
      </w:r>
      <w:r>
        <w:rPr>
          <w:rFonts w:hint="eastAsia" w:ascii="仿宋_GB2312" w:hAnsi="华文仿宋"/>
          <w:szCs w:val="32"/>
        </w:rPr>
        <w:t>本办法适用于学校官方新媒体的建设与管理。学校官方新媒体的主要功能为宣传学校发展成就，展示学校的良好形象，服务师生学习、工作和生活，主要发布学校工作的最新动态、通知公告以及与学校、师生相关的其他信息。</w:t>
      </w:r>
    </w:p>
    <w:p>
      <w:pPr>
        <w:spacing w:line="640" w:lineRule="exact"/>
        <w:ind w:firstLine="643" w:firstLineChars="200"/>
        <w:rPr>
          <w:rFonts w:ascii="仿宋_GB2312" w:hAnsi="仿宋" w:cs="Helvetica"/>
          <w:color w:val="3E3E3E"/>
          <w:szCs w:val="32"/>
        </w:rPr>
      </w:pPr>
      <w:r>
        <w:rPr>
          <w:rFonts w:hint="eastAsia" w:ascii="楷体_GB2312" w:eastAsia="楷体_GB2312"/>
          <w:b/>
          <w:szCs w:val="32"/>
        </w:rPr>
        <w:t>第四条</w:t>
      </w:r>
      <w:r>
        <w:rPr>
          <w:rFonts w:hint="eastAsia" w:ascii="楷体" w:hAnsi="楷体" w:eastAsia="楷体" w:cs="Helvetica"/>
          <w:color w:val="3E3E3E"/>
          <w:szCs w:val="32"/>
        </w:rPr>
        <w:t xml:space="preserve"> </w:t>
      </w:r>
      <w:r>
        <w:rPr>
          <w:rFonts w:hint="eastAsia" w:ascii="仿宋_GB2312" w:hAnsi="仿宋" w:cs="Helvetica"/>
          <w:color w:val="3E3E3E"/>
          <w:szCs w:val="32"/>
        </w:rPr>
        <w:t xml:space="preserve"> </w:t>
      </w:r>
      <w:r>
        <w:rPr>
          <w:rFonts w:hint="eastAsia" w:ascii="仿宋_GB2312" w:hAnsi="华文仿宋"/>
          <w:szCs w:val="32"/>
        </w:rPr>
        <w:t>学校官方新媒体建设与管理的协调牵头部门为党委宣传部。信息管理中心负责技术咨询和网络安全维护。校属各单位负责本单位新媒体的建设与管理工作。</w:t>
      </w:r>
    </w:p>
    <w:p>
      <w:pPr>
        <w:spacing w:line="640" w:lineRule="exact"/>
        <w:ind w:firstLine="643" w:firstLineChars="200"/>
        <w:rPr>
          <w:rFonts w:ascii="仿宋_GB2312" w:hAnsi="仿宋" w:cs="Helvetica"/>
          <w:color w:val="3E3E3E"/>
          <w:szCs w:val="32"/>
        </w:rPr>
      </w:pPr>
      <w:r>
        <w:rPr>
          <w:rFonts w:hint="eastAsia" w:ascii="楷体_GB2312" w:eastAsia="楷体_GB2312"/>
          <w:b/>
          <w:szCs w:val="32"/>
        </w:rPr>
        <w:t xml:space="preserve">第五条 </w:t>
      </w:r>
      <w:r>
        <w:rPr>
          <w:rFonts w:hint="eastAsia" w:ascii="仿宋_GB2312" w:hAnsi="仿宋" w:cs="Helvetica"/>
          <w:color w:val="3E3E3E"/>
          <w:szCs w:val="32"/>
        </w:rPr>
        <w:t xml:space="preserve"> </w:t>
      </w:r>
      <w:r>
        <w:rPr>
          <w:rFonts w:hint="eastAsia" w:ascii="仿宋_GB2312" w:hAnsi="仿宋" w:cs="Helvetica"/>
          <w:szCs w:val="32"/>
        </w:rPr>
        <w:t>加强信息共享与内部联动，打造官方新媒体矩阵。学校将经过备案审批的官方新媒体纳入新媒体矩阵，给予推广宣传和工作指导，推动形成传播合力，不断提高官方新媒体引导网络舆论的能力。</w:t>
      </w:r>
    </w:p>
    <w:p>
      <w:pPr>
        <w:spacing w:line="640" w:lineRule="exact"/>
        <w:jc w:val="center"/>
        <w:rPr>
          <w:rFonts w:ascii="黑体" w:hAnsi="黑体" w:eastAsia="黑体"/>
          <w:sz w:val="30"/>
          <w:szCs w:val="30"/>
        </w:rPr>
      </w:pPr>
      <w:r>
        <w:rPr>
          <w:rFonts w:hint="eastAsia" w:ascii="黑体" w:hAnsi="黑体" w:eastAsia="黑体"/>
          <w:sz w:val="30"/>
          <w:szCs w:val="30"/>
        </w:rPr>
        <w:t>第二章  备案程序</w:t>
      </w:r>
    </w:p>
    <w:p>
      <w:pPr>
        <w:spacing w:line="640" w:lineRule="exact"/>
        <w:ind w:firstLine="643" w:firstLineChars="200"/>
        <w:rPr>
          <w:rFonts w:ascii="仿宋_GB2312" w:hAnsi="仿宋" w:cs="Helvetica"/>
          <w:szCs w:val="32"/>
        </w:rPr>
      </w:pPr>
      <w:r>
        <w:rPr>
          <w:rFonts w:hint="eastAsia" w:ascii="楷体_GB2312" w:eastAsia="楷体_GB2312"/>
          <w:b/>
          <w:szCs w:val="32"/>
        </w:rPr>
        <w:t xml:space="preserve">第六条 </w:t>
      </w:r>
      <w:r>
        <w:rPr>
          <w:rFonts w:hint="eastAsia" w:ascii="楷体_GB2312" w:eastAsia="楷体_GB2312"/>
          <w:szCs w:val="32"/>
        </w:rPr>
        <w:t xml:space="preserve"> </w:t>
      </w:r>
      <w:r>
        <w:rPr>
          <w:rFonts w:hint="eastAsia" w:ascii="仿宋_GB2312" w:hAnsi="仿宋" w:cs="Helvetica"/>
          <w:szCs w:val="32"/>
        </w:rPr>
        <w:t>党委宣传部负责对校属各单位的新媒体平台进行审批及备案。因工作需要在提供互联网综合服务的平台上开设帐号和发布内容的单位，无论是否得到平台认证，均须在创建后五个工作日内，</w:t>
      </w:r>
      <w:r>
        <w:rPr>
          <w:rFonts w:hint="eastAsia" w:ascii="仿宋" w:hAnsi="仿宋" w:eastAsia="仿宋" w:cs="Helvetica"/>
          <w:szCs w:val="32"/>
        </w:rPr>
        <w:t>填写并</w:t>
      </w:r>
      <w:r>
        <w:rPr>
          <w:rFonts w:hint="eastAsia" w:ascii="仿宋_GB2312" w:hAnsi="仿宋" w:cs="Helvetica"/>
          <w:szCs w:val="32"/>
        </w:rPr>
        <w:t>向党委宣传部提交《云南财经大学新媒体帐号备案审批表》。</w:t>
      </w:r>
    </w:p>
    <w:p>
      <w:pPr>
        <w:spacing w:line="640" w:lineRule="exact"/>
        <w:ind w:firstLine="643" w:firstLineChars="200"/>
        <w:rPr>
          <w:rFonts w:ascii="仿宋_GB2312" w:hAnsi="仿宋" w:cs="Helvetica"/>
          <w:szCs w:val="32"/>
        </w:rPr>
      </w:pPr>
      <w:r>
        <w:rPr>
          <w:rFonts w:hint="eastAsia" w:ascii="楷体_GB2312" w:eastAsia="楷体_GB2312"/>
          <w:b/>
          <w:szCs w:val="32"/>
        </w:rPr>
        <w:t>第七条</w:t>
      </w:r>
      <w:r>
        <w:rPr>
          <w:rFonts w:hint="eastAsia" w:ascii="楷体" w:hAnsi="楷体" w:eastAsia="楷体" w:cs="Helvetica"/>
          <w:szCs w:val="32"/>
        </w:rPr>
        <w:t xml:space="preserve"> </w:t>
      </w:r>
      <w:r>
        <w:rPr>
          <w:rFonts w:hint="eastAsia" w:ascii="仿宋_GB2312" w:hAnsi="仿宋" w:cs="Helvetica"/>
          <w:szCs w:val="32"/>
        </w:rPr>
        <w:t xml:space="preserve"> 备案审批表主要涵盖的内容为帐号名称、创建主体、责任单位、媒体类型、创建时间、是否认证、媒体定位、管理队伍等信息。各单位主要负责人需在备案审批表上签字并加盖单位公章。</w:t>
      </w:r>
    </w:p>
    <w:p>
      <w:pPr>
        <w:spacing w:line="640" w:lineRule="exact"/>
        <w:ind w:firstLine="643" w:firstLineChars="200"/>
        <w:rPr>
          <w:rFonts w:ascii="仿宋_GB2312" w:hAnsi="仿宋" w:cs="Helvetica"/>
          <w:szCs w:val="32"/>
        </w:rPr>
      </w:pPr>
      <w:r>
        <w:rPr>
          <w:rFonts w:hint="eastAsia" w:ascii="楷体_GB2312" w:eastAsia="楷体_GB2312"/>
          <w:b/>
          <w:szCs w:val="32"/>
        </w:rPr>
        <w:t>第八条</w:t>
      </w:r>
      <w:r>
        <w:rPr>
          <w:rFonts w:hint="eastAsia" w:ascii="楷体_GB2312" w:eastAsia="楷体_GB2312"/>
          <w:szCs w:val="32"/>
        </w:rPr>
        <w:t xml:space="preserve">  </w:t>
      </w:r>
      <w:r>
        <w:rPr>
          <w:rFonts w:hint="eastAsia" w:ascii="仿宋_GB2312" w:hAnsi="仿宋" w:cs="Helvetica"/>
          <w:szCs w:val="32"/>
        </w:rPr>
        <w:t>完成认证的新媒体平台管理员须由在岗在编教职工担任。帐号名、管理人员或维护方式发生变更的单位，应在五个工作日内，以书面形式报党委宣传部备案。</w:t>
      </w:r>
    </w:p>
    <w:p>
      <w:pPr>
        <w:spacing w:line="640" w:lineRule="exact"/>
        <w:jc w:val="center"/>
        <w:rPr>
          <w:rFonts w:ascii="黑体" w:hAnsi="黑体" w:eastAsia="黑体"/>
          <w:sz w:val="30"/>
          <w:szCs w:val="30"/>
        </w:rPr>
      </w:pPr>
      <w:r>
        <w:rPr>
          <w:rFonts w:hint="eastAsia" w:ascii="黑体" w:hAnsi="黑体" w:eastAsia="黑体"/>
          <w:sz w:val="30"/>
          <w:szCs w:val="30"/>
        </w:rPr>
        <w:t>第三章  内容建设与安全管理</w:t>
      </w:r>
    </w:p>
    <w:p>
      <w:pPr>
        <w:spacing w:line="640" w:lineRule="exact"/>
        <w:ind w:firstLine="643" w:firstLineChars="200"/>
        <w:rPr>
          <w:rFonts w:ascii="仿宋_GB2312" w:hAnsi="仿宋" w:cs="Helvetica"/>
          <w:szCs w:val="32"/>
        </w:rPr>
      </w:pPr>
      <w:r>
        <w:rPr>
          <w:rFonts w:hint="eastAsia" w:ascii="楷体_GB2312" w:eastAsia="楷体_GB2312"/>
          <w:b/>
          <w:szCs w:val="32"/>
        </w:rPr>
        <w:t>第九条</w:t>
      </w:r>
      <w:r>
        <w:rPr>
          <w:rFonts w:hint="eastAsia" w:ascii="楷体" w:hAnsi="楷体" w:eastAsia="楷体" w:cs="Helvetica"/>
          <w:b/>
          <w:szCs w:val="32"/>
        </w:rPr>
        <w:t xml:space="preserve">  </w:t>
      </w:r>
      <w:r>
        <w:rPr>
          <w:rFonts w:hint="eastAsia" w:ascii="仿宋_GB2312" w:hAnsi="仿宋" w:cs="Helvetica"/>
          <w:szCs w:val="32"/>
        </w:rPr>
        <w:t>以学校、校属各单位或学生组织名义注册的官方新媒体，按照“谁建设谁负责，谁主管谁负责”的原则实行归口管理，创建官方新媒体的主办单位党政主要负责人为第一责任人。</w:t>
      </w:r>
    </w:p>
    <w:p>
      <w:pPr>
        <w:spacing w:line="640" w:lineRule="exact"/>
        <w:ind w:firstLine="643" w:firstLineChars="200"/>
        <w:rPr>
          <w:rFonts w:ascii="仿宋_GB2312" w:hAnsi="仿宋" w:cs="Helvetica"/>
          <w:szCs w:val="32"/>
        </w:rPr>
      </w:pPr>
      <w:r>
        <w:rPr>
          <w:rFonts w:hint="eastAsia" w:ascii="楷体_GB2312" w:eastAsia="楷体_GB2312"/>
          <w:b/>
          <w:szCs w:val="32"/>
        </w:rPr>
        <w:t>第十条</w:t>
      </w:r>
      <w:r>
        <w:rPr>
          <w:rFonts w:hint="eastAsia" w:ascii="楷体" w:hAnsi="楷体" w:eastAsia="楷体" w:cs="Helvetica"/>
          <w:b/>
          <w:szCs w:val="32"/>
        </w:rPr>
        <w:t xml:space="preserve">  </w:t>
      </w:r>
      <w:r>
        <w:rPr>
          <w:rFonts w:hint="eastAsia" w:ascii="仿宋_GB2312" w:hAnsi="仿宋" w:cs="Helvetica"/>
          <w:szCs w:val="32"/>
        </w:rPr>
        <w:t>新媒体管理本着“科学发展、积极利用、加强管理、确保安全”的基本原则，制定信息审核、发布等管理规范。各建设单位应主动建立健全新媒体管理制度，明确责任领导，完善痕迹管理，加强新媒体内容审核与日常维护等工作。</w:t>
      </w:r>
    </w:p>
    <w:p>
      <w:pPr>
        <w:spacing w:line="640" w:lineRule="exact"/>
        <w:ind w:firstLine="643" w:firstLineChars="200"/>
        <w:rPr>
          <w:rFonts w:ascii="仿宋_GB2312" w:hAnsi="仿宋" w:cs="Helvetica"/>
          <w:szCs w:val="32"/>
        </w:rPr>
      </w:pPr>
      <w:r>
        <w:rPr>
          <w:rFonts w:hint="eastAsia" w:ascii="楷体_GB2312" w:eastAsia="楷体_GB2312"/>
          <w:b/>
          <w:szCs w:val="32"/>
        </w:rPr>
        <w:t>第十一条</w:t>
      </w:r>
      <w:r>
        <w:rPr>
          <w:rFonts w:hint="eastAsia" w:ascii="楷体_GB2312" w:eastAsia="楷体_GB2312"/>
          <w:szCs w:val="32"/>
        </w:rPr>
        <w:t xml:space="preserve"> </w:t>
      </w:r>
      <w:r>
        <w:rPr>
          <w:rFonts w:hint="eastAsia" w:ascii="楷体" w:hAnsi="楷体" w:eastAsia="楷体" w:cs="Helvetica"/>
          <w:b/>
          <w:szCs w:val="32"/>
        </w:rPr>
        <w:t xml:space="preserve"> </w:t>
      </w:r>
      <w:r>
        <w:rPr>
          <w:rFonts w:hint="eastAsia" w:ascii="仿宋_GB2312" w:hAnsi="仿宋" w:cs="Helvetica"/>
          <w:szCs w:val="32"/>
        </w:rPr>
        <w:t>各单位应严把新媒体平台信息的入口关。发布和转载有关信息应严格遵守国家有关法律法规，禁止在新媒体平台发布涉密信息，违者将被依法依规追究责任。使用网络素材应注重保护知识产权以避免侵权事件发生。</w:t>
      </w:r>
    </w:p>
    <w:p>
      <w:pPr>
        <w:spacing w:line="640" w:lineRule="exact"/>
        <w:ind w:firstLine="643" w:firstLineChars="200"/>
        <w:rPr>
          <w:rFonts w:ascii="仿宋_GB2312" w:hAnsi="仿宋" w:cs="Helvetica"/>
          <w:szCs w:val="32"/>
        </w:rPr>
      </w:pPr>
      <w:r>
        <w:rPr>
          <w:rFonts w:hint="eastAsia" w:ascii="楷体_GB2312" w:eastAsia="楷体_GB2312"/>
          <w:b/>
          <w:szCs w:val="32"/>
        </w:rPr>
        <w:t>第十二条</w:t>
      </w:r>
      <w:r>
        <w:rPr>
          <w:rFonts w:hint="eastAsia" w:ascii="楷体" w:hAnsi="楷体" w:eastAsia="楷体" w:cs="Helvetica"/>
          <w:b/>
          <w:szCs w:val="32"/>
        </w:rPr>
        <w:t xml:space="preserve">  </w:t>
      </w:r>
      <w:r>
        <w:rPr>
          <w:rFonts w:hint="eastAsia" w:ascii="仿宋_GB2312" w:hAnsi="仿宋" w:cs="Helvetica"/>
          <w:szCs w:val="32"/>
        </w:rPr>
        <w:t>各单位应自觉维护学校声誉，未经学校相关部门授权，不得擅自发布涉及学校重大事件、突发事件、社会热点及敏感问题的相关信息。根据《云南财经大学网络舆情管理及应对办法（试行）》，学校突发事件信息发布由学校意识形态工作领导小组办公室统筹协调。</w:t>
      </w:r>
    </w:p>
    <w:p>
      <w:pPr>
        <w:spacing w:line="640" w:lineRule="exact"/>
        <w:ind w:firstLine="643" w:firstLineChars="200"/>
        <w:rPr>
          <w:rFonts w:ascii="仿宋_GB2312" w:hAnsi="仿宋" w:cs="Helvetica"/>
          <w:szCs w:val="32"/>
        </w:rPr>
      </w:pPr>
      <w:r>
        <w:rPr>
          <w:rFonts w:hint="eastAsia" w:ascii="楷体_GB2312" w:eastAsia="楷体_GB2312"/>
          <w:b/>
          <w:szCs w:val="32"/>
        </w:rPr>
        <w:t>第十三条</w:t>
      </w:r>
      <w:r>
        <w:rPr>
          <w:rFonts w:hint="eastAsia" w:ascii="楷体_GB2312" w:eastAsia="楷体_GB2312"/>
          <w:szCs w:val="32"/>
        </w:rPr>
        <w:t xml:space="preserve"> </w:t>
      </w:r>
      <w:r>
        <w:rPr>
          <w:rFonts w:hint="eastAsia" w:ascii="仿宋_GB2312" w:hAnsi="仿宋" w:cs="Helvetica"/>
          <w:szCs w:val="32"/>
        </w:rPr>
        <w:t xml:space="preserve"> 违反第十一条、第十二条相关规定，造成不良影响的，学校有权责令新媒体帐号停止运行，并追究责任单位和责任人的相关责任。</w:t>
      </w:r>
    </w:p>
    <w:p>
      <w:pPr>
        <w:spacing w:line="640" w:lineRule="exact"/>
        <w:ind w:firstLine="643" w:firstLineChars="200"/>
        <w:rPr>
          <w:rFonts w:ascii="仿宋_GB2312" w:hAnsi="仿宋" w:cs="Helvetica"/>
          <w:szCs w:val="32"/>
        </w:rPr>
      </w:pPr>
      <w:r>
        <w:rPr>
          <w:rFonts w:hint="eastAsia" w:ascii="楷体_GB2312" w:eastAsia="楷体_GB2312"/>
          <w:b/>
          <w:szCs w:val="32"/>
        </w:rPr>
        <w:t>第十四条</w:t>
      </w:r>
      <w:r>
        <w:rPr>
          <w:rFonts w:hint="eastAsia" w:ascii="楷体" w:hAnsi="楷体" w:eastAsia="楷体" w:cs="Helvetica"/>
          <w:b/>
          <w:szCs w:val="32"/>
        </w:rPr>
        <w:t xml:space="preserve">  </w:t>
      </w:r>
      <w:r>
        <w:rPr>
          <w:rFonts w:hint="eastAsia" w:ascii="仿宋_GB2312" w:hAnsi="仿宋" w:cs="Helvetica"/>
          <w:szCs w:val="32"/>
        </w:rPr>
        <w:t>各单位应加强对新媒体账号及内容的日常管理，做到专人负责，实时监控，一旦发现有违反规定或有损学校声誉的不良信息，应及时处理。</w:t>
      </w:r>
    </w:p>
    <w:p>
      <w:pPr>
        <w:spacing w:line="640" w:lineRule="exact"/>
        <w:ind w:firstLine="643" w:firstLineChars="200"/>
        <w:rPr>
          <w:rFonts w:ascii="仿宋_GB2312" w:hAnsi="仿宋" w:cs="Helvetica"/>
          <w:szCs w:val="32"/>
        </w:rPr>
      </w:pPr>
      <w:r>
        <w:rPr>
          <w:rFonts w:hint="eastAsia" w:ascii="楷体_GB2312" w:eastAsia="楷体_GB2312"/>
          <w:b/>
          <w:szCs w:val="32"/>
        </w:rPr>
        <w:t>第十五条</w:t>
      </w:r>
      <w:r>
        <w:rPr>
          <w:rFonts w:hint="eastAsia" w:ascii="楷体_GB2312" w:eastAsia="楷体_GB2312"/>
          <w:szCs w:val="32"/>
        </w:rPr>
        <w:t xml:space="preserve"> </w:t>
      </w:r>
      <w:r>
        <w:rPr>
          <w:rFonts w:hint="eastAsia" w:ascii="仿宋_GB2312" w:hAnsi="仿宋" w:cs="Helvetica"/>
          <w:szCs w:val="32"/>
        </w:rPr>
        <w:t xml:space="preserve"> 各单位应按照要求填写并向党委宣传部报送《云南财经大学新媒体管理月报表》。月报表主要涵盖的内容为建设单位、媒体平台、帐号名称、帐号ID、报送时间、发布信息数量、主题及内容、是否涉密及管理人员等。</w:t>
      </w:r>
    </w:p>
    <w:p>
      <w:pPr>
        <w:spacing w:line="640" w:lineRule="exact"/>
        <w:jc w:val="center"/>
        <w:rPr>
          <w:rFonts w:ascii="仿宋" w:hAnsi="仿宋" w:eastAsia="仿宋"/>
          <w:sz w:val="30"/>
          <w:szCs w:val="30"/>
        </w:rPr>
      </w:pPr>
      <w:r>
        <w:rPr>
          <w:rFonts w:hint="eastAsia" w:ascii="黑体" w:hAnsi="黑体" w:eastAsia="黑体"/>
          <w:sz w:val="30"/>
          <w:szCs w:val="30"/>
        </w:rPr>
        <w:t>第四章  奖惩与问责</w:t>
      </w:r>
    </w:p>
    <w:p>
      <w:pPr>
        <w:spacing w:line="640" w:lineRule="exact"/>
        <w:ind w:firstLine="643" w:firstLineChars="200"/>
        <w:rPr>
          <w:rFonts w:ascii="仿宋_GB2312" w:hAnsi="仿宋" w:cs="Helvetica"/>
          <w:szCs w:val="32"/>
        </w:rPr>
      </w:pPr>
      <w:r>
        <w:rPr>
          <w:rFonts w:hint="eastAsia" w:ascii="楷体_GB2312" w:eastAsia="楷体_GB2312"/>
          <w:b/>
          <w:szCs w:val="32"/>
        </w:rPr>
        <w:t>第十六条</w:t>
      </w:r>
      <w:r>
        <w:rPr>
          <w:rFonts w:hint="eastAsia" w:ascii="楷体" w:hAnsi="楷体" w:eastAsia="楷体" w:cs="Helvetica"/>
          <w:b/>
          <w:szCs w:val="32"/>
        </w:rPr>
        <w:t xml:space="preserve">  </w:t>
      </w:r>
      <w:r>
        <w:rPr>
          <w:rFonts w:hint="eastAsia" w:ascii="仿宋_GB2312" w:hAnsi="仿宋" w:cs="Helvetica"/>
          <w:szCs w:val="32"/>
        </w:rPr>
        <w:t>学校鼓励各单位积极建设新媒体平台，将新媒体建设与管理纳入新闻宣传工作年度考核体系，</w:t>
      </w:r>
      <w:r>
        <w:rPr>
          <w:rFonts w:ascii="仿宋_GB2312" w:hAnsi="仿宋" w:cs="Helvetica"/>
          <w:szCs w:val="32"/>
        </w:rPr>
        <w:t>对</w:t>
      </w:r>
      <w:r>
        <w:rPr>
          <w:rFonts w:hint="eastAsia" w:ascii="仿宋_GB2312" w:hAnsi="仿宋" w:cs="Helvetica"/>
          <w:szCs w:val="32"/>
        </w:rPr>
        <w:t>管理规范、运行良好、影响力较大的新媒体的建设单位</w:t>
      </w:r>
      <w:r>
        <w:rPr>
          <w:rFonts w:ascii="仿宋_GB2312" w:hAnsi="仿宋" w:cs="Helvetica"/>
          <w:szCs w:val="32"/>
        </w:rPr>
        <w:t>予以</w:t>
      </w:r>
      <w:r>
        <w:rPr>
          <w:rFonts w:hint="eastAsia" w:ascii="仿宋_GB2312" w:hAnsi="仿宋" w:cs="Helvetica"/>
          <w:szCs w:val="32"/>
        </w:rPr>
        <w:t>表彰。</w:t>
      </w:r>
    </w:p>
    <w:p>
      <w:pPr>
        <w:spacing w:line="640" w:lineRule="exact"/>
        <w:ind w:firstLine="643" w:firstLineChars="200"/>
        <w:rPr>
          <w:rFonts w:ascii="仿宋_GB2312" w:hAnsi="仿宋" w:cs="Helvetica"/>
          <w:szCs w:val="32"/>
        </w:rPr>
      </w:pPr>
      <w:r>
        <w:rPr>
          <w:rFonts w:hint="eastAsia" w:ascii="楷体_GB2312" w:eastAsia="楷体_GB2312"/>
          <w:b/>
          <w:szCs w:val="32"/>
        </w:rPr>
        <w:t>第十七条</w:t>
      </w:r>
      <w:r>
        <w:rPr>
          <w:rFonts w:hint="eastAsia" w:ascii="楷体" w:hAnsi="楷体" w:eastAsia="楷体" w:cs="Helvetica"/>
          <w:b/>
          <w:szCs w:val="32"/>
        </w:rPr>
        <w:t xml:space="preserve"> </w:t>
      </w:r>
      <w:r>
        <w:rPr>
          <w:rFonts w:hint="eastAsia" w:ascii="仿宋_GB2312" w:hAnsi="仿宋" w:cs="Helvetica"/>
          <w:szCs w:val="32"/>
        </w:rPr>
        <w:t xml:space="preserve"> 学校新媒体建设及管理工作实行责任追究制。根据《中国共产党问责条例》、</w:t>
      </w:r>
      <w:r>
        <w:rPr>
          <w:rFonts w:ascii="仿宋_GB2312" w:hAnsi="仿宋" w:cs="Helvetica"/>
          <w:szCs w:val="32"/>
        </w:rPr>
        <w:t>中共云南省委《贯彻&lt;中国共产党问责条例&gt;</w:t>
      </w:r>
      <w:r>
        <w:rPr>
          <w:rFonts w:hint="eastAsia" w:ascii="仿宋_GB2312" w:hAnsi="仿宋" w:cs="Helvetica"/>
          <w:szCs w:val="32"/>
        </w:rPr>
        <w:t>实施办法</w:t>
      </w:r>
      <w:r>
        <w:rPr>
          <w:rFonts w:ascii="仿宋_GB2312" w:hAnsi="仿宋" w:cs="Helvetica"/>
          <w:szCs w:val="32"/>
        </w:rPr>
        <w:t>》</w:t>
      </w:r>
      <w:r>
        <w:rPr>
          <w:rFonts w:hint="eastAsia" w:ascii="仿宋_GB2312" w:hAnsi="仿宋" w:cs="Helvetica"/>
          <w:szCs w:val="32"/>
        </w:rPr>
        <w:t>、《云南财经大学意识形态工作问责实施办法（试行）》《中共云南财经大学委员会关于落实网络意识形态工作责任制的实施细则（试行）》的规定，视失职失责情形及其导致的损失或影响程度的大小，追究相应责任单位和责任人的责任。</w:t>
      </w:r>
    </w:p>
    <w:p>
      <w:pPr>
        <w:spacing w:line="640" w:lineRule="exact"/>
        <w:ind w:firstLine="643" w:firstLineChars="200"/>
        <w:rPr>
          <w:rFonts w:ascii="仿宋" w:hAnsi="仿宋" w:eastAsia="仿宋"/>
          <w:sz w:val="30"/>
          <w:szCs w:val="30"/>
        </w:rPr>
      </w:pPr>
      <w:r>
        <w:rPr>
          <w:rFonts w:hint="eastAsia" w:ascii="楷体_GB2312" w:eastAsia="楷体_GB2312"/>
          <w:b/>
          <w:szCs w:val="32"/>
        </w:rPr>
        <w:t>第十八条</w:t>
      </w:r>
      <w:r>
        <w:rPr>
          <w:rFonts w:hint="eastAsia" w:ascii="楷体_GB2312" w:eastAsia="楷体_GB2312"/>
          <w:szCs w:val="32"/>
        </w:rPr>
        <w:t xml:space="preserve"> </w:t>
      </w:r>
      <w:r>
        <w:rPr>
          <w:rFonts w:hint="eastAsia" w:ascii="仿宋_GB2312" w:hAnsi="仿宋" w:cs="Helvetica"/>
          <w:szCs w:val="32"/>
        </w:rPr>
        <w:t xml:space="preserve"> 对违反相关法律法规的新媒体平台，依照新闻宣传管理部门、公安机关、通信管理部门、互联网信息内容主管部门有关法律法规，追究责任单位和责任人的相关责任。</w:t>
      </w:r>
    </w:p>
    <w:p>
      <w:pPr>
        <w:spacing w:line="640" w:lineRule="exact"/>
        <w:jc w:val="center"/>
        <w:rPr>
          <w:rFonts w:ascii="黑体" w:hAnsi="黑体" w:eastAsia="黑体"/>
          <w:sz w:val="30"/>
          <w:szCs w:val="30"/>
        </w:rPr>
      </w:pPr>
      <w:r>
        <w:rPr>
          <w:rFonts w:hint="eastAsia" w:ascii="黑体" w:hAnsi="黑体" w:eastAsia="黑体"/>
          <w:sz w:val="30"/>
          <w:szCs w:val="30"/>
        </w:rPr>
        <w:t>第五章  附  则</w:t>
      </w:r>
    </w:p>
    <w:p>
      <w:pPr>
        <w:spacing w:line="640" w:lineRule="exact"/>
        <w:ind w:firstLine="643" w:firstLineChars="200"/>
        <w:rPr>
          <w:rFonts w:ascii="仿宋_GB2312" w:hAnsi="仿宋" w:cs="Helvetica"/>
          <w:szCs w:val="32"/>
        </w:rPr>
      </w:pPr>
      <w:r>
        <w:rPr>
          <w:rFonts w:hint="eastAsia" w:ascii="楷体_GB2312" w:eastAsia="楷体_GB2312"/>
          <w:b/>
          <w:szCs w:val="32"/>
        </w:rPr>
        <w:t>第十九条</w:t>
      </w:r>
      <w:r>
        <w:rPr>
          <w:rFonts w:hint="eastAsia" w:ascii="楷体" w:hAnsi="楷体" w:eastAsia="楷体" w:cs="Helvetica"/>
          <w:b/>
          <w:szCs w:val="32"/>
        </w:rPr>
        <w:t xml:space="preserve"> </w:t>
      </w:r>
      <w:r>
        <w:rPr>
          <w:rFonts w:hint="eastAsia" w:ascii="仿宋_GB2312" w:hAnsi="仿宋" w:cs="Helvetica"/>
          <w:szCs w:val="32"/>
        </w:rPr>
        <w:t xml:space="preserve">开通官方新媒体的校属各单位，可参照本办法制定相应的新媒体管理办法。 </w:t>
      </w:r>
    </w:p>
    <w:p>
      <w:pPr>
        <w:spacing w:line="640" w:lineRule="exact"/>
        <w:ind w:firstLine="643" w:firstLineChars="200"/>
        <w:rPr>
          <w:rFonts w:ascii="仿宋_GB2312" w:hAnsi="仿宋" w:cs="Helvetica"/>
          <w:szCs w:val="32"/>
        </w:rPr>
      </w:pPr>
      <w:r>
        <w:rPr>
          <w:rFonts w:hint="eastAsia" w:ascii="楷体_GB2312" w:eastAsia="楷体_GB2312"/>
          <w:b/>
          <w:szCs w:val="32"/>
        </w:rPr>
        <w:t>第二十条</w:t>
      </w:r>
      <w:r>
        <w:rPr>
          <w:rFonts w:hint="eastAsia" w:ascii="楷体" w:hAnsi="楷体" w:eastAsia="楷体" w:cs="Helvetica"/>
          <w:b/>
          <w:szCs w:val="32"/>
        </w:rPr>
        <w:t xml:space="preserve"> </w:t>
      </w:r>
      <w:r>
        <w:rPr>
          <w:rFonts w:hint="eastAsia" w:ascii="仿宋_GB2312" w:hAnsi="仿宋" w:cs="Helvetica"/>
          <w:szCs w:val="32"/>
        </w:rPr>
        <w:t>本办法由党委宣传部负责解释，自发布之日起施行。</w:t>
      </w:r>
    </w:p>
    <w:p>
      <w:pPr>
        <w:spacing w:line="640" w:lineRule="exact"/>
        <w:ind w:firstLine="640" w:firstLineChars="200"/>
        <w:rPr>
          <w:rFonts w:ascii="仿宋_GB2312" w:hAnsi="仿宋" w:cs="Helvetica"/>
          <w:szCs w:val="32"/>
        </w:rPr>
      </w:pPr>
    </w:p>
    <w:p>
      <w:pPr>
        <w:spacing w:line="640" w:lineRule="exact"/>
        <w:ind w:firstLine="640" w:firstLineChars="200"/>
        <w:rPr>
          <w:szCs w:val="32"/>
        </w:rPr>
      </w:pPr>
      <w:r>
        <w:rPr>
          <w:szCs w:val="32"/>
        </w:rPr>
        <w:t>附表：1.云南财经大学新媒体帐号备案审批表</w:t>
      </w:r>
    </w:p>
    <w:p>
      <w:pPr>
        <w:spacing w:line="640" w:lineRule="exact"/>
        <w:ind w:firstLine="1600" w:firstLineChars="500"/>
        <w:rPr>
          <w:szCs w:val="32"/>
        </w:rPr>
      </w:pPr>
      <w:r>
        <w:rPr>
          <w:szCs w:val="32"/>
        </w:rPr>
        <w:t>2.云南财经大学新媒体管理月报表</w:t>
      </w:r>
    </w:p>
    <w:p>
      <w:pPr>
        <w:widowControl/>
        <w:spacing w:line="640" w:lineRule="exact"/>
        <w:jc w:val="left"/>
        <w:rPr>
          <w:szCs w:val="32"/>
        </w:rPr>
      </w:pPr>
      <w:r>
        <w:rPr>
          <w:szCs w:val="32"/>
        </w:rPr>
        <w:br w:type="page"/>
      </w:r>
    </w:p>
    <w:p>
      <w:pPr>
        <w:pStyle w:val="7"/>
        <w:ind w:left="360" w:firstLine="0" w:firstLineChars="0"/>
        <w:jc w:val="center"/>
        <w:rPr>
          <w:rFonts w:ascii="方正小标宋_GBK" w:hAnsi="微软雅黑" w:eastAsia="方正小标宋_GBK"/>
          <w:sz w:val="44"/>
          <w:szCs w:val="44"/>
        </w:rPr>
      </w:pPr>
      <w:r>
        <w:rPr>
          <w:rFonts w:hint="eastAsia" w:ascii="方正小标宋_GBK" w:hAnsi="微软雅黑" w:eastAsia="方正小标宋_GBK"/>
          <w:sz w:val="44"/>
          <w:szCs w:val="44"/>
        </w:rPr>
        <w:t>云南财经大学新媒体帐号备案审批表</w:t>
      </w:r>
    </w:p>
    <w:tbl>
      <w:tblPr>
        <w:tblStyle w:val="4"/>
        <w:tblpPr w:leftFromText="182" w:rightFromText="182" w:vertAnchor="text" w:horzAnchor="page" w:tblpX="1974" w:tblpY="23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425"/>
        <w:gridCol w:w="851"/>
        <w:gridCol w:w="567"/>
        <w:gridCol w:w="460"/>
        <w:gridCol w:w="390"/>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帐号名称</w:t>
            </w:r>
          </w:p>
        </w:tc>
        <w:tc>
          <w:tcPr>
            <w:tcW w:w="2410" w:type="dxa"/>
            <w:gridSpan w:val="3"/>
          </w:tcPr>
          <w:p>
            <w:pPr>
              <w:jc w:val="center"/>
              <w:rPr>
                <w:rFonts w:asciiTheme="minorEastAsia" w:hAnsiTheme="minorEastAsia" w:eastAsiaTheme="minorEastAsia"/>
                <w:sz w:val="21"/>
                <w:szCs w:val="21"/>
              </w:rPr>
            </w:pPr>
          </w:p>
        </w:tc>
        <w:tc>
          <w:tcPr>
            <w:tcW w:w="1417" w:type="dxa"/>
            <w:gridSpan w:val="3"/>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单位主要负责人</w:t>
            </w:r>
          </w:p>
        </w:tc>
        <w:tc>
          <w:tcPr>
            <w:tcW w:w="3119" w:type="dxa"/>
            <w:gridSpan w:val="2"/>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创建主体</w:t>
            </w:r>
          </w:p>
        </w:tc>
        <w:tc>
          <w:tcPr>
            <w:tcW w:w="2410" w:type="dxa"/>
            <w:gridSpan w:val="3"/>
          </w:tcPr>
          <w:p>
            <w:pPr>
              <w:jc w:val="center"/>
              <w:rPr>
                <w:rFonts w:asciiTheme="minorEastAsia" w:hAnsiTheme="minorEastAsia" w:eastAsiaTheme="minorEastAsia"/>
                <w:sz w:val="21"/>
                <w:szCs w:val="21"/>
              </w:rPr>
            </w:pPr>
          </w:p>
        </w:tc>
        <w:tc>
          <w:tcPr>
            <w:tcW w:w="1417" w:type="dxa"/>
            <w:gridSpan w:val="3"/>
            <w:vAlign w:val="center"/>
          </w:tcPr>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职务</w:t>
            </w:r>
          </w:p>
        </w:tc>
        <w:tc>
          <w:tcPr>
            <w:tcW w:w="3119" w:type="dxa"/>
            <w:gridSpan w:val="2"/>
          </w:tcPr>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责任单位</w:t>
            </w:r>
          </w:p>
        </w:tc>
        <w:tc>
          <w:tcPr>
            <w:tcW w:w="2410" w:type="dxa"/>
            <w:gridSpan w:val="3"/>
          </w:tcPr>
          <w:p>
            <w:pPr>
              <w:jc w:val="center"/>
              <w:rPr>
                <w:rFonts w:asciiTheme="minorEastAsia" w:hAnsiTheme="minorEastAsia" w:eastAsiaTheme="minorEastAsia"/>
                <w:sz w:val="21"/>
                <w:szCs w:val="21"/>
              </w:rPr>
            </w:pPr>
          </w:p>
        </w:tc>
        <w:tc>
          <w:tcPr>
            <w:tcW w:w="1417" w:type="dxa"/>
            <w:gridSpan w:val="3"/>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联系电话</w:t>
            </w:r>
          </w:p>
        </w:tc>
        <w:tc>
          <w:tcPr>
            <w:tcW w:w="3119" w:type="dxa"/>
            <w:gridSpan w:val="2"/>
            <w:shd w:val="clear" w:color="auto" w:fill="auto"/>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媒体类型</w:t>
            </w:r>
          </w:p>
        </w:tc>
        <w:tc>
          <w:tcPr>
            <w:tcW w:w="6946" w:type="dxa"/>
            <w:gridSpan w:val="8"/>
            <w:vAlign w:val="center"/>
          </w:tcPr>
          <w:p>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□微博□微信（订阅号 服务号 企业号）□APP□其他类型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创建时间</w:t>
            </w:r>
          </w:p>
        </w:tc>
        <w:tc>
          <w:tcPr>
            <w:tcW w:w="1559" w:type="dxa"/>
            <w:gridSpan w:val="2"/>
          </w:tcPr>
          <w:p>
            <w:pPr>
              <w:jc w:val="center"/>
              <w:rPr>
                <w:rFonts w:asciiTheme="minorEastAsia" w:hAnsiTheme="minorEastAsia" w:eastAsiaTheme="minorEastAsia"/>
                <w:sz w:val="21"/>
                <w:szCs w:val="21"/>
              </w:rPr>
            </w:pPr>
          </w:p>
        </w:tc>
        <w:tc>
          <w:tcPr>
            <w:tcW w:w="1418" w:type="dxa"/>
            <w:gridSpan w:val="2"/>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是否认证</w:t>
            </w:r>
          </w:p>
        </w:tc>
        <w:tc>
          <w:tcPr>
            <w:tcW w:w="850" w:type="dxa"/>
            <w:gridSpan w:val="2"/>
            <w:shd w:val="clear" w:color="auto" w:fill="auto"/>
          </w:tcPr>
          <w:p>
            <w:pPr>
              <w:widowControl/>
              <w:jc w:val="left"/>
              <w:rPr>
                <w:rFonts w:asciiTheme="minorEastAsia" w:hAnsiTheme="minorEastAsia" w:eastAsiaTheme="minorEastAsia"/>
                <w:sz w:val="21"/>
                <w:szCs w:val="21"/>
              </w:rPr>
            </w:pPr>
          </w:p>
        </w:tc>
        <w:tc>
          <w:tcPr>
            <w:tcW w:w="1276" w:type="dxa"/>
            <w:shd w:val="clear" w:color="auto" w:fill="auto"/>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微信公众号原始ID</w:t>
            </w:r>
          </w:p>
        </w:tc>
        <w:tc>
          <w:tcPr>
            <w:tcW w:w="1843" w:type="dxa"/>
            <w:shd w:val="clear" w:color="auto" w:fill="auto"/>
          </w:tcPr>
          <w:p>
            <w:pPr>
              <w:widowControl/>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trPr>
        <w:tc>
          <w:tcPr>
            <w:tcW w:w="1526" w:type="dxa"/>
            <w:vAlign w:val="center"/>
          </w:tcPr>
          <w:p>
            <w:pPr>
              <w:pStyle w:val="6"/>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媒体定位</w:t>
            </w:r>
          </w:p>
        </w:tc>
        <w:tc>
          <w:tcPr>
            <w:tcW w:w="6946" w:type="dxa"/>
            <w:gridSpan w:val="8"/>
            <w:shd w:val="clear" w:color="auto" w:fill="auto"/>
          </w:tcPr>
          <w:p>
            <w:pPr>
              <w:widowControl/>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26" w:type="dxa"/>
            <w:vMerge w:val="restar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管理队伍</w:t>
            </w:r>
          </w:p>
        </w:tc>
        <w:tc>
          <w:tcPr>
            <w:tcW w:w="1134"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负责人</w:t>
            </w:r>
          </w:p>
        </w:tc>
        <w:tc>
          <w:tcPr>
            <w:tcW w:w="1843" w:type="dxa"/>
            <w:gridSpan w:val="3"/>
          </w:tcPr>
          <w:p>
            <w:pPr>
              <w:jc w:val="center"/>
              <w:rPr>
                <w:rFonts w:asciiTheme="minorEastAsia" w:hAnsiTheme="minorEastAsia" w:eastAsiaTheme="minorEastAsia"/>
                <w:sz w:val="21"/>
                <w:szCs w:val="21"/>
              </w:rPr>
            </w:pPr>
          </w:p>
        </w:tc>
        <w:tc>
          <w:tcPr>
            <w:tcW w:w="460" w:type="dxa"/>
            <w:vMerge w:val="restart"/>
            <w:vAlign w:val="center"/>
          </w:tcPr>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联系电话/邮箱</w:t>
            </w:r>
          </w:p>
        </w:tc>
        <w:tc>
          <w:tcPr>
            <w:tcW w:w="3509" w:type="dxa"/>
            <w:gridSpan w:val="3"/>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26" w:type="dxa"/>
            <w:vMerge w:val="continue"/>
          </w:tcPr>
          <w:p>
            <w:pPr>
              <w:jc w:val="center"/>
              <w:rPr>
                <w:rFonts w:asciiTheme="minorEastAsia" w:hAnsiTheme="minorEastAsia" w:eastAsiaTheme="minorEastAsia"/>
                <w:sz w:val="21"/>
                <w:szCs w:val="21"/>
              </w:rPr>
            </w:pPr>
          </w:p>
        </w:tc>
        <w:tc>
          <w:tcPr>
            <w:tcW w:w="1134"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管理员</w:t>
            </w:r>
          </w:p>
        </w:tc>
        <w:tc>
          <w:tcPr>
            <w:tcW w:w="1843" w:type="dxa"/>
            <w:gridSpan w:val="3"/>
          </w:tcPr>
          <w:p>
            <w:pPr>
              <w:jc w:val="center"/>
              <w:rPr>
                <w:rFonts w:asciiTheme="minorEastAsia" w:hAnsiTheme="minorEastAsia" w:eastAsiaTheme="minorEastAsia"/>
                <w:sz w:val="21"/>
                <w:szCs w:val="21"/>
              </w:rPr>
            </w:pPr>
          </w:p>
        </w:tc>
        <w:tc>
          <w:tcPr>
            <w:tcW w:w="460" w:type="dxa"/>
            <w:vMerge w:val="continue"/>
          </w:tcPr>
          <w:p>
            <w:pPr>
              <w:jc w:val="center"/>
              <w:rPr>
                <w:rFonts w:asciiTheme="minorEastAsia" w:hAnsiTheme="minorEastAsia" w:eastAsiaTheme="minorEastAsia"/>
                <w:sz w:val="21"/>
                <w:szCs w:val="21"/>
              </w:rPr>
            </w:pPr>
          </w:p>
        </w:tc>
        <w:tc>
          <w:tcPr>
            <w:tcW w:w="3509" w:type="dxa"/>
            <w:gridSpan w:val="3"/>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26" w:type="dxa"/>
            <w:vMerge w:val="continue"/>
          </w:tcPr>
          <w:p>
            <w:pPr>
              <w:jc w:val="center"/>
              <w:rPr>
                <w:rFonts w:asciiTheme="minorEastAsia" w:hAnsiTheme="minorEastAsia" w:eastAsiaTheme="minorEastAsia"/>
                <w:sz w:val="21"/>
                <w:szCs w:val="21"/>
              </w:rPr>
            </w:pPr>
          </w:p>
        </w:tc>
        <w:tc>
          <w:tcPr>
            <w:tcW w:w="1134"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管理员</w:t>
            </w:r>
          </w:p>
        </w:tc>
        <w:tc>
          <w:tcPr>
            <w:tcW w:w="1843" w:type="dxa"/>
            <w:gridSpan w:val="3"/>
          </w:tcPr>
          <w:p>
            <w:pPr>
              <w:jc w:val="center"/>
              <w:rPr>
                <w:rFonts w:asciiTheme="minorEastAsia" w:hAnsiTheme="minorEastAsia" w:eastAsiaTheme="minorEastAsia"/>
                <w:sz w:val="21"/>
                <w:szCs w:val="21"/>
              </w:rPr>
            </w:pPr>
          </w:p>
        </w:tc>
        <w:tc>
          <w:tcPr>
            <w:tcW w:w="460" w:type="dxa"/>
            <w:vMerge w:val="continue"/>
          </w:tcPr>
          <w:p>
            <w:pPr>
              <w:jc w:val="center"/>
              <w:rPr>
                <w:rFonts w:asciiTheme="minorEastAsia" w:hAnsiTheme="minorEastAsia" w:eastAsiaTheme="minorEastAsia"/>
                <w:sz w:val="21"/>
                <w:szCs w:val="21"/>
              </w:rPr>
            </w:pPr>
          </w:p>
        </w:tc>
        <w:tc>
          <w:tcPr>
            <w:tcW w:w="3509" w:type="dxa"/>
            <w:gridSpan w:val="3"/>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26" w:type="dxa"/>
            <w:vMerge w:val="continue"/>
          </w:tcPr>
          <w:p>
            <w:pPr>
              <w:jc w:val="center"/>
              <w:rPr>
                <w:rFonts w:asciiTheme="minorEastAsia" w:hAnsiTheme="minorEastAsia" w:eastAsiaTheme="minorEastAsia"/>
                <w:sz w:val="21"/>
                <w:szCs w:val="21"/>
              </w:rPr>
            </w:pPr>
          </w:p>
        </w:tc>
        <w:tc>
          <w:tcPr>
            <w:tcW w:w="1134"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管理员</w:t>
            </w:r>
          </w:p>
        </w:tc>
        <w:tc>
          <w:tcPr>
            <w:tcW w:w="1843" w:type="dxa"/>
            <w:gridSpan w:val="3"/>
          </w:tcPr>
          <w:p>
            <w:pPr>
              <w:jc w:val="center"/>
              <w:rPr>
                <w:rFonts w:asciiTheme="minorEastAsia" w:hAnsiTheme="minorEastAsia" w:eastAsiaTheme="minorEastAsia"/>
                <w:sz w:val="21"/>
                <w:szCs w:val="21"/>
              </w:rPr>
            </w:pPr>
          </w:p>
        </w:tc>
        <w:tc>
          <w:tcPr>
            <w:tcW w:w="460" w:type="dxa"/>
            <w:vMerge w:val="continue"/>
          </w:tcPr>
          <w:p>
            <w:pPr>
              <w:jc w:val="center"/>
              <w:rPr>
                <w:rFonts w:asciiTheme="minorEastAsia" w:hAnsiTheme="minorEastAsia" w:eastAsiaTheme="minorEastAsia"/>
                <w:sz w:val="21"/>
                <w:szCs w:val="21"/>
              </w:rPr>
            </w:pPr>
          </w:p>
        </w:tc>
        <w:tc>
          <w:tcPr>
            <w:tcW w:w="3509" w:type="dxa"/>
            <w:gridSpan w:val="3"/>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位</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意</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见</w:t>
            </w:r>
          </w:p>
        </w:tc>
        <w:tc>
          <w:tcPr>
            <w:tcW w:w="6946" w:type="dxa"/>
            <w:gridSpan w:val="8"/>
          </w:tcPr>
          <w:p>
            <w:pPr>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已知我单位开设此新媒体帐号，并明确对此帐号及发布内容负有管理责任。</w:t>
            </w:r>
          </w:p>
          <w:p>
            <w:pPr>
              <w:ind w:right="560" w:firstLine="1407" w:firstLineChars="670"/>
              <w:rPr>
                <w:rFonts w:asciiTheme="minorEastAsia" w:hAnsiTheme="minorEastAsia" w:eastAsiaTheme="minorEastAsia"/>
                <w:sz w:val="21"/>
                <w:szCs w:val="21"/>
              </w:rPr>
            </w:pPr>
            <w:r>
              <w:rPr>
                <w:rFonts w:hint="eastAsia" w:asciiTheme="minorEastAsia" w:hAnsiTheme="minorEastAsia" w:eastAsiaTheme="minorEastAsia"/>
                <w:sz w:val="21"/>
                <w:szCs w:val="21"/>
              </w:rPr>
              <w:t>单位负责人签字：</w:t>
            </w:r>
          </w:p>
          <w:p>
            <w:pPr>
              <w:spacing w:line="360" w:lineRule="exact"/>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（加盖单位公章）</w:t>
            </w:r>
          </w:p>
          <w:p>
            <w:pPr>
              <w:spacing w:line="360" w:lineRule="exact"/>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党委</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宣传部</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意见</w:t>
            </w:r>
          </w:p>
        </w:tc>
        <w:tc>
          <w:tcPr>
            <w:tcW w:w="6946" w:type="dxa"/>
            <w:gridSpan w:val="8"/>
          </w:tcPr>
          <w:p>
            <w:pPr>
              <w:spacing w:line="400" w:lineRule="exact"/>
              <w:ind w:right="958"/>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line="400" w:lineRule="exact"/>
              <w:ind w:right="958" w:firstLine="4410" w:firstLineChars="2100"/>
              <w:rPr>
                <w:rFonts w:asciiTheme="minorEastAsia" w:hAnsiTheme="minorEastAsia" w:eastAsiaTheme="minorEastAsia"/>
                <w:sz w:val="21"/>
                <w:szCs w:val="21"/>
              </w:rPr>
            </w:pPr>
          </w:p>
          <w:p>
            <w:pPr>
              <w:spacing w:line="400" w:lineRule="exact"/>
              <w:ind w:right="958" w:firstLine="4410" w:firstLineChars="2100"/>
              <w:rPr>
                <w:rFonts w:asciiTheme="minorEastAsia" w:hAnsiTheme="minorEastAsia" w:eastAsiaTheme="minorEastAsia"/>
                <w:sz w:val="21"/>
                <w:szCs w:val="21"/>
              </w:rPr>
            </w:pPr>
            <w:r>
              <w:rPr>
                <w:rFonts w:hint="eastAsia" w:asciiTheme="minorEastAsia" w:hAnsiTheme="minorEastAsia" w:eastAsiaTheme="minorEastAsia"/>
                <w:sz w:val="21"/>
                <w:szCs w:val="21"/>
              </w:rPr>
              <w:t>负责人签字：</w:t>
            </w:r>
          </w:p>
          <w:p>
            <w:pPr>
              <w:spacing w:line="400" w:lineRule="exact"/>
              <w:ind w:right="95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（加盖单位公章）</w:t>
            </w:r>
          </w:p>
          <w:p>
            <w:pPr>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年     月     日</w:t>
            </w:r>
          </w:p>
        </w:tc>
      </w:tr>
    </w:tbl>
    <w:p>
      <w:pPr>
        <w:jc w:val="left"/>
        <w:rPr>
          <w:rFonts w:asciiTheme="minorEastAsia" w:hAnsiTheme="minorEastAsia" w:eastAsiaTheme="minorEastAsia"/>
          <w:sz w:val="21"/>
          <w:szCs w:val="21"/>
        </w:rPr>
      </w:pPr>
      <w:r>
        <w:rPr>
          <w:rFonts w:hint="eastAsia" w:asciiTheme="minorEastAsia" w:hAnsiTheme="minorEastAsia" w:eastAsiaTheme="minorEastAsia"/>
          <w:sz w:val="21"/>
          <w:szCs w:val="21"/>
        </w:rPr>
        <w:t>注：1.此纸质备案表一式两份，党委宣传部、申办单位各留备案。</w:t>
      </w:r>
    </w:p>
    <w:p>
      <w:pPr>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2.帐号名、管理队伍人员或维护方式发生变更，应以书面形式及时报党委宣传部备案。</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3.媒体定位主要指媒体的功能定位、内容定位和受众定位。</w:t>
      </w:r>
    </w:p>
    <w:p>
      <w:pPr>
        <w:jc w:val="center"/>
        <w:rPr>
          <w:rFonts w:ascii="方正小标宋_GBK" w:hAnsi="微软雅黑" w:eastAsia="方正小标宋_GBK"/>
          <w:sz w:val="44"/>
          <w:szCs w:val="44"/>
        </w:rPr>
      </w:pPr>
      <w:r>
        <w:rPr>
          <w:rFonts w:hint="eastAsia" w:ascii="方正小标宋_GBK" w:hAnsi="微软雅黑" w:eastAsia="方正小标宋_GBK"/>
          <w:sz w:val="44"/>
          <w:szCs w:val="44"/>
        </w:rPr>
        <w:t>云南财经大学新媒体管理月报表</w:t>
      </w:r>
    </w:p>
    <w:tbl>
      <w:tblPr>
        <w:tblStyle w:val="4"/>
        <w:tblpPr w:leftFromText="182" w:rightFromText="182" w:vertAnchor="text" w:horzAnchor="page" w:tblpX="1974" w:tblpY="23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851"/>
        <w:gridCol w:w="850"/>
        <w:gridCol w:w="141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建设单位</w:t>
            </w:r>
          </w:p>
        </w:tc>
        <w:tc>
          <w:tcPr>
            <w:tcW w:w="2268" w:type="dxa"/>
            <w:gridSpan w:val="2"/>
          </w:tcPr>
          <w:p>
            <w:pPr>
              <w:jc w:val="center"/>
              <w:rPr>
                <w:rFonts w:asciiTheme="minorEastAsia" w:hAnsiTheme="minorEastAsia" w:eastAsiaTheme="minorEastAsia"/>
                <w:sz w:val="21"/>
                <w:szCs w:val="21"/>
              </w:rPr>
            </w:pPr>
          </w:p>
        </w:tc>
        <w:tc>
          <w:tcPr>
            <w:tcW w:w="2268" w:type="dxa"/>
            <w:gridSpan w:val="2"/>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媒体平台</w:t>
            </w:r>
          </w:p>
        </w:tc>
        <w:tc>
          <w:tcPr>
            <w:tcW w:w="2268" w:type="dxa"/>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帐号名称</w:t>
            </w:r>
          </w:p>
        </w:tc>
        <w:tc>
          <w:tcPr>
            <w:tcW w:w="2268" w:type="dxa"/>
            <w:gridSpan w:val="2"/>
          </w:tcPr>
          <w:p>
            <w:pPr>
              <w:jc w:val="center"/>
              <w:rPr>
                <w:rFonts w:asciiTheme="minorEastAsia" w:hAnsiTheme="minorEastAsia" w:eastAsiaTheme="minorEastAsia"/>
                <w:sz w:val="21"/>
                <w:szCs w:val="21"/>
              </w:rPr>
            </w:pPr>
          </w:p>
        </w:tc>
        <w:tc>
          <w:tcPr>
            <w:tcW w:w="2268" w:type="dxa"/>
            <w:gridSpan w:val="2"/>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账号ID</w:t>
            </w:r>
          </w:p>
        </w:tc>
        <w:tc>
          <w:tcPr>
            <w:tcW w:w="2268" w:type="dxa"/>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526" w:type="dxa"/>
            <w:vAlign w:val="center"/>
          </w:tcPr>
          <w:p>
            <w:pPr>
              <w:pStyle w:val="6"/>
              <w:jc w:val="center"/>
              <w:rPr>
                <w:rFonts w:asciiTheme="minorEastAsia" w:hAnsiTheme="minorEastAsia" w:eastAsiaTheme="minorEastAsia"/>
                <w:szCs w:val="21"/>
              </w:rPr>
            </w:pPr>
            <w:r>
              <w:rPr>
                <w:rFonts w:hint="eastAsia" w:asciiTheme="minorEastAsia" w:hAnsiTheme="minorEastAsia" w:eastAsiaTheme="minorEastAsia"/>
                <w:szCs w:val="21"/>
              </w:rPr>
              <w:t>报送时间</w:t>
            </w:r>
          </w:p>
        </w:tc>
        <w:tc>
          <w:tcPr>
            <w:tcW w:w="2268" w:type="dxa"/>
            <w:gridSpan w:val="2"/>
          </w:tcPr>
          <w:p>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sz w:val="21"/>
                <w:szCs w:val="21"/>
              </w:rPr>
            </w:pPr>
          </w:p>
        </w:tc>
        <w:tc>
          <w:tcPr>
            <w:tcW w:w="2268" w:type="dxa"/>
            <w:gridSpan w:val="2"/>
            <w:vAlign w:val="center"/>
          </w:tcPr>
          <w:p>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发布信息数量</w:t>
            </w:r>
          </w:p>
        </w:tc>
        <w:tc>
          <w:tcPr>
            <w:tcW w:w="2268" w:type="dxa"/>
          </w:tcPr>
          <w:p>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1526" w:type="dxa"/>
            <w:vMerge w:val="restart"/>
            <w:vAlign w:val="center"/>
          </w:tcPr>
          <w:p>
            <w:pPr>
              <w:pStyle w:val="6"/>
              <w:jc w:val="center"/>
              <w:rPr>
                <w:rFonts w:asciiTheme="minorEastAsia" w:hAnsiTheme="minorEastAsia" w:eastAsiaTheme="minorEastAsia"/>
                <w:szCs w:val="21"/>
              </w:rPr>
            </w:pPr>
            <w:r>
              <w:rPr>
                <w:rFonts w:hint="eastAsia" w:asciiTheme="minorEastAsia" w:hAnsiTheme="minorEastAsia" w:eastAsiaTheme="minorEastAsia"/>
                <w:szCs w:val="21"/>
              </w:rPr>
              <w:t>主题及</w:t>
            </w:r>
          </w:p>
          <w:p>
            <w:pPr>
              <w:pStyle w:val="6"/>
              <w:jc w:val="center"/>
              <w:rPr>
                <w:rFonts w:asciiTheme="minorEastAsia" w:hAnsiTheme="minorEastAsia" w:eastAsiaTheme="minorEastAsia"/>
                <w:szCs w:val="21"/>
              </w:rPr>
            </w:pPr>
            <w:r>
              <w:rPr>
                <w:rFonts w:hint="eastAsia" w:asciiTheme="minorEastAsia" w:hAnsiTheme="minorEastAsia" w:eastAsiaTheme="minorEastAsia"/>
                <w:szCs w:val="21"/>
              </w:rPr>
              <w:t>内容</w:t>
            </w:r>
          </w:p>
        </w:tc>
        <w:tc>
          <w:tcPr>
            <w:tcW w:w="6804" w:type="dxa"/>
            <w:gridSpan w:val="5"/>
          </w:tcPr>
          <w:p>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526" w:type="dxa"/>
            <w:vMerge w:val="continue"/>
            <w:vAlign w:val="center"/>
          </w:tcPr>
          <w:p>
            <w:pPr>
              <w:pStyle w:val="6"/>
              <w:jc w:val="center"/>
              <w:rPr>
                <w:rFonts w:asciiTheme="minorEastAsia" w:hAnsiTheme="minorEastAsia" w:eastAsiaTheme="minorEastAsia"/>
                <w:szCs w:val="21"/>
              </w:rPr>
            </w:pPr>
          </w:p>
        </w:tc>
        <w:tc>
          <w:tcPr>
            <w:tcW w:w="1417" w:type="dxa"/>
            <w:vAlign w:val="center"/>
          </w:tcPr>
          <w:p>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是否涉密</w:t>
            </w:r>
          </w:p>
        </w:tc>
        <w:tc>
          <w:tcPr>
            <w:tcW w:w="5387" w:type="dxa"/>
            <w:gridSpan w:val="4"/>
          </w:tcPr>
          <w:p>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26" w:type="dxa"/>
            <w:vMerge w:val="restar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管理人员</w:t>
            </w:r>
          </w:p>
        </w:tc>
        <w:tc>
          <w:tcPr>
            <w:tcW w:w="1417"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负责人</w:t>
            </w:r>
          </w:p>
        </w:tc>
        <w:tc>
          <w:tcPr>
            <w:tcW w:w="1701" w:type="dxa"/>
            <w:gridSpan w:val="2"/>
            <w:vAlign w:val="center"/>
          </w:tcPr>
          <w:p>
            <w:pPr>
              <w:jc w:val="center"/>
              <w:rPr>
                <w:rFonts w:asciiTheme="minorEastAsia" w:hAnsiTheme="minorEastAsia" w:eastAsiaTheme="minorEastAsia"/>
                <w:sz w:val="21"/>
                <w:szCs w:val="21"/>
              </w:rPr>
            </w:pPr>
          </w:p>
        </w:tc>
        <w:tc>
          <w:tcPr>
            <w:tcW w:w="1418" w:type="dxa"/>
            <w:vMerge w:val="restar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职务</w:t>
            </w:r>
          </w:p>
        </w:tc>
        <w:tc>
          <w:tcPr>
            <w:tcW w:w="2268" w:type="dxa"/>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526" w:type="dxa"/>
            <w:vMerge w:val="continue"/>
            <w:vAlign w:val="center"/>
          </w:tcPr>
          <w:p>
            <w:pPr>
              <w:jc w:val="center"/>
              <w:rPr>
                <w:rFonts w:asciiTheme="minorEastAsia" w:hAnsiTheme="minorEastAsia" w:eastAsiaTheme="minorEastAsia"/>
                <w:sz w:val="21"/>
                <w:szCs w:val="21"/>
              </w:rPr>
            </w:pPr>
          </w:p>
        </w:tc>
        <w:tc>
          <w:tcPr>
            <w:tcW w:w="1417"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管理员</w:t>
            </w:r>
          </w:p>
        </w:tc>
        <w:tc>
          <w:tcPr>
            <w:tcW w:w="1701" w:type="dxa"/>
            <w:gridSpan w:val="2"/>
            <w:vAlign w:val="center"/>
          </w:tcPr>
          <w:p>
            <w:pPr>
              <w:jc w:val="center"/>
              <w:rPr>
                <w:rFonts w:asciiTheme="minorEastAsia" w:hAnsiTheme="minorEastAsia" w:eastAsiaTheme="minorEastAsia"/>
                <w:sz w:val="21"/>
                <w:szCs w:val="21"/>
              </w:rPr>
            </w:pPr>
          </w:p>
        </w:tc>
        <w:tc>
          <w:tcPr>
            <w:tcW w:w="1418" w:type="dxa"/>
            <w:vMerge w:val="continue"/>
          </w:tcPr>
          <w:p>
            <w:pPr>
              <w:jc w:val="center"/>
              <w:rPr>
                <w:rFonts w:asciiTheme="minorEastAsia" w:hAnsiTheme="minorEastAsia" w:eastAsiaTheme="minorEastAsia"/>
                <w:sz w:val="21"/>
                <w:szCs w:val="21"/>
              </w:rPr>
            </w:pPr>
          </w:p>
        </w:tc>
        <w:tc>
          <w:tcPr>
            <w:tcW w:w="2268" w:type="dxa"/>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26" w:type="dxa"/>
            <w:vMerge w:val="continue"/>
            <w:vAlign w:val="center"/>
          </w:tcPr>
          <w:p>
            <w:pPr>
              <w:jc w:val="center"/>
              <w:rPr>
                <w:rFonts w:asciiTheme="minorEastAsia" w:hAnsiTheme="minorEastAsia" w:eastAsiaTheme="minorEastAsia"/>
                <w:sz w:val="21"/>
                <w:szCs w:val="21"/>
              </w:rPr>
            </w:pPr>
          </w:p>
        </w:tc>
        <w:tc>
          <w:tcPr>
            <w:tcW w:w="1417"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管理员</w:t>
            </w:r>
          </w:p>
        </w:tc>
        <w:tc>
          <w:tcPr>
            <w:tcW w:w="1701" w:type="dxa"/>
            <w:gridSpan w:val="2"/>
            <w:vAlign w:val="center"/>
          </w:tcPr>
          <w:p>
            <w:pPr>
              <w:jc w:val="center"/>
              <w:rPr>
                <w:rFonts w:asciiTheme="minorEastAsia" w:hAnsiTheme="minorEastAsia" w:eastAsiaTheme="minorEastAsia"/>
                <w:sz w:val="21"/>
                <w:szCs w:val="21"/>
              </w:rPr>
            </w:pPr>
          </w:p>
        </w:tc>
        <w:tc>
          <w:tcPr>
            <w:tcW w:w="1418" w:type="dxa"/>
            <w:vMerge w:val="continue"/>
          </w:tcPr>
          <w:p>
            <w:pPr>
              <w:jc w:val="center"/>
              <w:rPr>
                <w:rFonts w:asciiTheme="minorEastAsia" w:hAnsiTheme="minorEastAsia" w:eastAsiaTheme="minorEastAsia"/>
                <w:sz w:val="21"/>
                <w:szCs w:val="21"/>
              </w:rPr>
            </w:pPr>
          </w:p>
        </w:tc>
        <w:tc>
          <w:tcPr>
            <w:tcW w:w="2268" w:type="dxa"/>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位</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意</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见</w:t>
            </w:r>
          </w:p>
        </w:tc>
        <w:tc>
          <w:tcPr>
            <w:tcW w:w="6804" w:type="dxa"/>
            <w:gridSpan w:val="5"/>
          </w:tcPr>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spacing w:line="440" w:lineRule="exact"/>
              <w:ind w:right="560" w:firstLine="3150" w:firstLineChars="1500"/>
              <w:rPr>
                <w:rFonts w:asciiTheme="minorEastAsia" w:hAnsiTheme="minorEastAsia" w:eastAsiaTheme="minorEastAsia"/>
                <w:sz w:val="21"/>
                <w:szCs w:val="21"/>
              </w:rPr>
            </w:pPr>
          </w:p>
          <w:p>
            <w:pPr>
              <w:spacing w:line="440" w:lineRule="exact"/>
              <w:ind w:right="560" w:firstLine="3150" w:firstLineChars="1500"/>
              <w:rPr>
                <w:rFonts w:asciiTheme="minorEastAsia" w:hAnsiTheme="minorEastAsia" w:eastAsiaTheme="minorEastAsia"/>
                <w:sz w:val="21"/>
                <w:szCs w:val="21"/>
              </w:rPr>
            </w:pPr>
            <w:r>
              <w:rPr>
                <w:rFonts w:hint="eastAsia" w:asciiTheme="minorEastAsia" w:hAnsiTheme="minorEastAsia" w:eastAsiaTheme="minorEastAsia"/>
                <w:sz w:val="21"/>
                <w:szCs w:val="21"/>
              </w:rPr>
              <w:t>单位负责人签字：</w:t>
            </w:r>
          </w:p>
          <w:p>
            <w:pPr>
              <w:spacing w:line="440" w:lineRule="exact"/>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（加盖单位公章）</w:t>
            </w:r>
          </w:p>
          <w:p>
            <w:pPr>
              <w:spacing w:line="440" w:lineRule="exact"/>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trPr>
        <w:tc>
          <w:tcPr>
            <w:tcW w:w="15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党委</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宣传部</w:t>
            </w: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意见</w:t>
            </w:r>
          </w:p>
        </w:tc>
        <w:tc>
          <w:tcPr>
            <w:tcW w:w="6804" w:type="dxa"/>
            <w:gridSpan w:val="5"/>
          </w:tcPr>
          <w:p>
            <w:pPr>
              <w:spacing w:line="440" w:lineRule="exact"/>
              <w:ind w:right="560" w:firstLine="1575" w:firstLineChars="750"/>
              <w:rPr>
                <w:rFonts w:asciiTheme="minorEastAsia" w:hAnsiTheme="minorEastAsia" w:eastAsiaTheme="minorEastAsia"/>
                <w:sz w:val="21"/>
                <w:szCs w:val="21"/>
              </w:rPr>
            </w:pPr>
          </w:p>
          <w:p>
            <w:pPr>
              <w:spacing w:line="440" w:lineRule="exact"/>
              <w:ind w:right="560" w:firstLine="1575" w:firstLineChars="75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line="440" w:lineRule="exact"/>
              <w:ind w:right="560" w:firstLine="1575" w:firstLineChars="75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签章：</w:t>
            </w:r>
          </w:p>
          <w:p>
            <w:pPr>
              <w:spacing w:line="440" w:lineRule="exact"/>
              <w:ind w:right="140" w:firstLine="1575" w:firstLineChars="75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年     月     日</w:t>
            </w:r>
          </w:p>
        </w:tc>
      </w:tr>
    </w:tbl>
    <w:p>
      <w:pPr>
        <w:jc w:val="left"/>
        <w:rPr>
          <w:rFonts w:asciiTheme="minorEastAsia" w:hAnsiTheme="minorEastAsia" w:eastAsiaTheme="minorEastAsia"/>
          <w:sz w:val="21"/>
          <w:szCs w:val="21"/>
        </w:rPr>
      </w:pPr>
      <w:r>
        <w:rPr>
          <w:rFonts w:hint="eastAsia" w:asciiTheme="minorEastAsia" w:hAnsiTheme="minorEastAsia" w:eastAsiaTheme="minorEastAsia"/>
          <w:sz w:val="21"/>
          <w:szCs w:val="21"/>
        </w:rPr>
        <w:t>注： 1.此纸质备案表于每月1日至5日间报送至党委宣传部新媒体编辑部（致远楼604-2），本表一式两份，党委宣传部、建设单位各留备案。</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2.“主题及内容”填写如有需要可附页。</w:t>
      </w:r>
    </w:p>
    <w:sectPr>
      <w:footerReference r:id="rId3" w:type="default"/>
      <w:footerReference r:id="rId4" w:type="even"/>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9187"/>
      <w:docPartObj>
        <w:docPartGallery w:val="AutoText"/>
      </w:docPartObj>
    </w:sdtPr>
    <w:sdtContent>
      <w:p>
        <w:pPr>
          <w:pStyle w:val="2"/>
          <w:numPr>
            <w:ilvl w:val="0"/>
            <w:numId w:val="1"/>
          </w:numPr>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9190"/>
      <w:docPartObj>
        <w:docPartGallery w:val="AutoText"/>
      </w:docPartObj>
    </w:sdtPr>
    <w:sdtContent>
      <w:p>
        <w:pPr>
          <w:pStyle w:val="2"/>
          <w:numPr>
            <w:ilvl w:val="0"/>
            <w:numId w:val="2"/>
          </w:numPr>
          <w:ind w:left="677" w:leftChars="100" w:hanging="35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242"/>
    <w:multiLevelType w:val="multilevel"/>
    <w:tmpl w:val="01A5424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9A2E52"/>
    <w:multiLevelType w:val="multilevel"/>
    <w:tmpl w:val="309A2E52"/>
    <w:lvl w:ilvl="0" w:tentative="0">
      <w:start w:val="0"/>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79438CC"/>
    <w:multiLevelType w:val="multilevel"/>
    <w:tmpl w:val="779438CC"/>
    <w:lvl w:ilvl="0" w:tentative="0">
      <w:start w:val="0"/>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50"/>
    <w:rsid w:val="00000622"/>
    <w:rsid w:val="00016761"/>
    <w:rsid w:val="00045456"/>
    <w:rsid w:val="00082EC5"/>
    <w:rsid w:val="000A4268"/>
    <w:rsid w:val="001052E8"/>
    <w:rsid w:val="0013363A"/>
    <w:rsid w:val="00136651"/>
    <w:rsid w:val="0016020E"/>
    <w:rsid w:val="001A67ED"/>
    <w:rsid w:val="001D2A85"/>
    <w:rsid w:val="001D62AD"/>
    <w:rsid w:val="001D7B91"/>
    <w:rsid w:val="001E5A82"/>
    <w:rsid w:val="00222F00"/>
    <w:rsid w:val="002268BE"/>
    <w:rsid w:val="00252445"/>
    <w:rsid w:val="00262C98"/>
    <w:rsid w:val="00272BA0"/>
    <w:rsid w:val="00273172"/>
    <w:rsid w:val="00281A2E"/>
    <w:rsid w:val="002A151E"/>
    <w:rsid w:val="002B2058"/>
    <w:rsid w:val="002D07DA"/>
    <w:rsid w:val="002D794D"/>
    <w:rsid w:val="002E734C"/>
    <w:rsid w:val="002F41A6"/>
    <w:rsid w:val="002F48B7"/>
    <w:rsid w:val="003162FC"/>
    <w:rsid w:val="003242A6"/>
    <w:rsid w:val="0033731C"/>
    <w:rsid w:val="00352A09"/>
    <w:rsid w:val="003C264C"/>
    <w:rsid w:val="003F46B3"/>
    <w:rsid w:val="00425B1A"/>
    <w:rsid w:val="00427E72"/>
    <w:rsid w:val="0047082C"/>
    <w:rsid w:val="004A4830"/>
    <w:rsid w:val="004A4D33"/>
    <w:rsid w:val="004D5AC5"/>
    <w:rsid w:val="004E0974"/>
    <w:rsid w:val="004F515D"/>
    <w:rsid w:val="0053606D"/>
    <w:rsid w:val="005441B8"/>
    <w:rsid w:val="00562873"/>
    <w:rsid w:val="005C5422"/>
    <w:rsid w:val="005E2FC6"/>
    <w:rsid w:val="005E3AA6"/>
    <w:rsid w:val="005E5CCF"/>
    <w:rsid w:val="005F2DDC"/>
    <w:rsid w:val="00622E4C"/>
    <w:rsid w:val="0062645D"/>
    <w:rsid w:val="00644B60"/>
    <w:rsid w:val="006736CD"/>
    <w:rsid w:val="006E30BE"/>
    <w:rsid w:val="007425D3"/>
    <w:rsid w:val="007428E2"/>
    <w:rsid w:val="00785EDD"/>
    <w:rsid w:val="00786A11"/>
    <w:rsid w:val="007A4264"/>
    <w:rsid w:val="007B0279"/>
    <w:rsid w:val="007B67B6"/>
    <w:rsid w:val="007E3CF3"/>
    <w:rsid w:val="00830F12"/>
    <w:rsid w:val="00836B8E"/>
    <w:rsid w:val="008461DF"/>
    <w:rsid w:val="00894850"/>
    <w:rsid w:val="00896BEB"/>
    <w:rsid w:val="008B4895"/>
    <w:rsid w:val="008D2E8D"/>
    <w:rsid w:val="008E54DB"/>
    <w:rsid w:val="008E62EE"/>
    <w:rsid w:val="008F79DC"/>
    <w:rsid w:val="00922009"/>
    <w:rsid w:val="0094176A"/>
    <w:rsid w:val="00943FD8"/>
    <w:rsid w:val="00950343"/>
    <w:rsid w:val="009576AE"/>
    <w:rsid w:val="009647C3"/>
    <w:rsid w:val="00972F95"/>
    <w:rsid w:val="009820B2"/>
    <w:rsid w:val="009F53B4"/>
    <w:rsid w:val="00A1783A"/>
    <w:rsid w:val="00A21A2E"/>
    <w:rsid w:val="00A445A2"/>
    <w:rsid w:val="00A52473"/>
    <w:rsid w:val="00A65E4A"/>
    <w:rsid w:val="00A76C1B"/>
    <w:rsid w:val="00AB589D"/>
    <w:rsid w:val="00AD0066"/>
    <w:rsid w:val="00B25569"/>
    <w:rsid w:val="00B36FF6"/>
    <w:rsid w:val="00B44F98"/>
    <w:rsid w:val="00B80FF7"/>
    <w:rsid w:val="00BA7F0E"/>
    <w:rsid w:val="00BB5328"/>
    <w:rsid w:val="00BD0273"/>
    <w:rsid w:val="00C6058E"/>
    <w:rsid w:val="00C706C0"/>
    <w:rsid w:val="00C86CA3"/>
    <w:rsid w:val="00CB47FC"/>
    <w:rsid w:val="00CD2879"/>
    <w:rsid w:val="00CD4D3C"/>
    <w:rsid w:val="00CE49C3"/>
    <w:rsid w:val="00D45DF8"/>
    <w:rsid w:val="00D955FE"/>
    <w:rsid w:val="00DA4918"/>
    <w:rsid w:val="00DB7160"/>
    <w:rsid w:val="00DE2C5A"/>
    <w:rsid w:val="00E16458"/>
    <w:rsid w:val="00E41199"/>
    <w:rsid w:val="00E801E4"/>
    <w:rsid w:val="00EA23E8"/>
    <w:rsid w:val="00EA7736"/>
    <w:rsid w:val="00EA7C89"/>
    <w:rsid w:val="00ED3A9C"/>
    <w:rsid w:val="00F2519F"/>
    <w:rsid w:val="00F41B5D"/>
    <w:rsid w:val="00F45694"/>
    <w:rsid w:val="00F54E90"/>
    <w:rsid w:val="00F9495D"/>
    <w:rsid w:val="00FA71BF"/>
    <w:rsid w:val="00FD6466"/>
    <w:rsid w:val="00FF42C4"/>
    <w:rsid w:val="1999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7">
    <w:name w:val="List Paragraph"/>
    <w:basedOn w:val="1"/>
    <w:qFormat/>
    <w:uiPriority w:val="34"/>
    <w:pPr>
      <w:ind w:firstLine="420" w:firstLineChars="200"/>
    </w:pPr>
    <w:rPr>
      <w:rFonts w:ascii="Calibri" w:hAnsi="Calibri" w:eastAsia="宋体"/>
      <w:sz w:val="24"/>
      <w:szCs w:val="24"/>
    </w:rPr>
  </w:style>
  <w:style w:type="character" w:customStyle="1" w:styleId="8">
    <w:name w:val="页眉 Char"/>
    <w:basedOn w:val="5"/>
    <w:link w:val="3"/>
    <w:semiHidden/>
    <w:uiPriority w:val="99"/>
    <w:rPr>
      <w:rFonts w:ascii="Times New Roman" w:hAnsi="Times New Roman" w:eastAsia="仿宋_GB2312" w:cs="Times New Roman"/>
      <w:sz w:val="18"/>
      <w:szCs w:val="18"/>
    </w:rPr>
  </w:style>
  <w:style w:type="character" w:customStyle="1" w:styleId="9">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412</Words>
  <Characters>2353</Characters>
  <Lines>19</Lines>
  <Paragraphs>5</Paragraphs>
  <TotalTime>11</TotalTime>
  <ScaleCrop>false</ScaleCrop>
  <LinksUpToDate>false</LinksUpToDate>
  <CharactersWithSpaces>2760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2019-05-23T08:30:00Z</dcterms:created>
  <dc:creator>吴炳昕【党委宣传部】</dc:creator>
  <cp:lastModifiedBy>刘继发</cp:lastModifiedBy>
  <dcterms:modified xsi:type="dcterms:W3CDTF">2019-05-24T01:35:14Z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